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BBD18" w14:textId="202F5C1E" w:rsidR="007C5C59" w:rsidRPr="002823A8" w:rsidRDefault="007C5C59" w:rsidP="00A80DAE">
      <w:pPr>
        <w:jc w:val="center"/>
        <w:rPr>
          <w:rFonts w:ascii="Calibri" w:hAnsi="Calibri"/>
          <w:b/>
          <w:sz w:val="28"/>
          <w:szCs w:val="28"/>
        </w:rPr>
      </w:pPr>
      <w:r w:rsidRPr="002823A8">
        <w:rPr>
          <w:rFonts w:ascii="Calibri" w:hAnsi="Calibri"/>
          <w:b/>
          <w:sz w:val="28"/>
          <w:szCs w:val="28"/>
        </w:rPr>
        <w:t xml:space="preserve">College of Micronesia – FSM Mission </w:t>
      </w:r>
      <w:r w:rsidR="002823A8">
        <w:rPr>
          <w:rFonts w:ascii="Calibri" w:hAnsi="Calibri"/>
          <w:b/>
          <w:sz w:val="28"/>
          <w:szCs w:val="28"/>
        </w:rPr>
        <w:t xml:space="preserve">Fulfillment </w:t>
      </w:r>
      <w:r w:rsidRPr="002823A8">
        <w:rPr>
          <w:rFonts w:ascii="Calibri" w:hAnsi="Calibri"/>
          <w:b/>
          <w:sz w:val="28"/>
          <w:szCs w:val="28"/>
        </w:rPr>
        <w:t>Indicators</w:t>
      </w:r>
    </w:p>
    <w:p w14:paraId="68F17F90" w14:textId="77777777" w:rsidR="00772F46" w:rsidRDefault="00D3224A" w:rsidP="00772F46">
      <w:pPr>
        <w:spacing w:before="100" w:beforeAutospacing="1" w:after="100" w:afterAutospacing="1" w:line="240" w:lineRule="auto"/>
        <w:outlineLvl w:val="0"/>
        <w:rPr>
          <w:rFonts w:eastAsia="Times New Roman" w:cs="Times New Roman"/>
          <w:i/>
          <w:sz w:val="24"/>
          <w:szCs w:val="24"/>
        </w:rPr>
      </w:pPr>
      <w:r w:rsidRPr="00772F46">
        <w:rPr>
          <w:rFonts w:eastAsia="Times New Roman" w:cs="Times New Roman"/>
          <w:b/>
          <w:bCs/>
          <w:kern w:val="36"/>
          <w:sz w:val="24"/>
          <w:szCs w:val="24"/>
        </w:rPr>
        <w:t xml:space="preserve">Mission Statement: </w:t>
      </w:r>
      <w:r w:rsidRPr="00772F46">
        <w:rPr>
          <w:rFonts w:eastAsia="Times New Roman" w:cs="Times New Roman"/>
          <w:i/>
          <w:sz w:val="24"/>
          <w:szCs w:val="24"/>
        </w:rPr>
        <w:t>The College of Micronesia-FSM is a learner-centered institution of higher education that is committed to the success of the Federated States of Micronesia by providing academic, career and technical educational programs characterized by continuous improvement and best practices.</w:t>
      </w:r>
    </w:p>
    <w:p w14:paraId="14228800" w14:textId="13B79919" w:rsidR="00772F46" w:rsidRPr="00772F46" w:rsidRDefault="00772F46" w:rsidP="00772F46">
      <w:pPr>
        <w:spacing w:before="100" w:beforeAutospacing="1" w:after="100" w:afterAutospacing="1" w:line="240" w:lineRule="auto"/>
        <w:outlineLvl w:val="0"/>
        <w:rPr>
          <w:rFonts w:eastAsia="Times New Roman" w:cs="Times New Roman"/>
          <w:i/>
          <w:sz w:val="24"/>
          <w:szCs w:val="24"/>
        </w:rPr>
      </w:pPr>
      <w:r w:rsidRPr="00772F46">
        <w:rPr>
          <w:rFonts w:ascii="Garamond" w:eastAsia="Times New Roman" w:hAnsi="Garamond" w:cs="Times New Roman"/>
          <w:i/>
          <w:sz w:val="24"/>
          <w:szCs w:val="24"/>
        </w:rPr>
        <w:t>Accreditation Standard I.A.2. The institution uses data to determine how effectively it is accomplishing its mission, and whether the mission directs institutional priorities in meeting the educational needs of students.</w:t>
      </w:r>
    </w:p>
    <w:p w14:paraId="7E479B21" w14:textId="0BC82EBC" w:rsidR="00644234" w:rsidRDefault="00D575E6" w:rsidP="00791303">
      <w:pPr>
        <w:spacing w:before="100" w:beforeAutospacing="1" w:after="100" w:afterAutospacing="1" w:line="240" w:lineRule="auto"/>
        <w:outlineLvl w:val="0"/>
        <w:rPr>
          <w:rFonts w:ascii="Garamond" w:eastAsia="Times New Roman" w:hAnsi="Garamond" w:cs="Times New Roman"/>
          <w:sz w:val="24"/>
          <w:szCs w:val="24"/>
        </w:rPr>
      </w:pPr>
      <w:r>
        <w:rPr>
          <w:rFonts w:ascii="Garamond" w:eastAsia="Times New Roman" w:hAnsi="Garamond" w:cs="Times New Roman"/>
          <w:sz w:val="24"/>
          <w:szCs w:val="24"/>
        </w:rPr>
        <w:t xml:space="preserve">Mission fulfillment is determined by the college meeting a minimum threshold. </w:t>
      </w:r>
      <w:r w:rsidR="00644234">
        <w:rPr>
          <w:rFonts w:ascii="Garamond" w:eastAsia="Times New Roman" w:hAnsi="Garamond" w:cs="Times New Roman"/>
          <w:sz w:val="24"/>
          <w:szCs w:val="24"/>
        </w:rPr>
        <w:t>Achievement of each individual indicator is measured relative to a range based on a corresponding threshold level and represented by achievement status.</w:t>
      </w:r>
    </w:p>
    <w:p w14:paraId="479C54B7" w14:textId="77777777" w:rsidR="00644234" w:rsidRDefault="00644234" w:rsidP="00791303">
      <w:pPr>
        <w:pStyle w:val="ListParagraph"/>
        <w:numPr>
          <w:ilvl w:val="0"/>
          <w:numId w:val="1"/>
        </w:numPr>
        <w:spacing w:before="100" w:beforeAutospacing="1" w:after="100" w:afterAutospacing="1" w:line="240" w:lineRule="auto"/>
        <w:outlineLvl w:val="0"/>
        <w:rPr>
          <w:rFonts w:ascii="Garamond" w:eastAsia="Times New Roman" w:hAnsi="Garamond" w:cs="Times New Roman"/>
          <w:sz w:val="24"/>
          <w:szCs w:val="24"/>
        </w:rPr>
      </w:pPr>
      <w:r>
        <w:rPr>
          <w:rFonts w:ascii="Garamond" w:eastAsia="Times New Roman" w:hAnsi="Garamond" w:cs="Times New Roman"/>
          <w:sz w:val="24"/>
          <w:szCs w:val="24"/>
        </w:rPr>
        <w:t>Green is achieved;</w:t>
      </w:r>
    </w:p>
    <w:p w14:paraId="044B6925" w14:textId="6ECE49CC" w:rsidR="00644234" w:rsidRDefault="00644234" w:rsidP="00791303">
      <w:pPr>
        <w:pStyle w:val="ListParagraph"/>
        <w:numPr>
          <w:ilvl w:val="0"/>
          <w:numId w:val="1"/>
        </w:numPr>
        <w:spacing w:before="100" w:beforeAutospacing="1" w:after="100" w:afterAutospacing="1" w:line="240" w:lineRule="auto"/>
        <w:outlineLvl w:val="0"/>
        <w:rPr>
          <w:rFonts w:ascii="Garamond" w:eastAsia="Times New Roman" w:hAnsi="Garamond" w:cs="Times New Roman"/>
          <w:sz w:val="24"/>
          <w:szCs w:val="24"/>
        </w:rPr>
      </w:pPr>
      <w:r>
        <w:rPr>
          <w:rFonts w:ascii="Garamond" w:eastAsia="Times New Roman" w:hAnsi="Garamond" w:cs="Times New Roman"/>
          <w:sz w:val="24"/>
          <w:szCs w:val="24"/>
        </w:rPr>
        <w:t>Y</w:t>
      </w:r>
      <w:r w:rsidR="00C25F41" w:rsidRPr="00644234">
        <w:rPr>
          <w:rFonts w:ascii="Garamond" w:eastAsia="Times New Roman" w:hAnsi="Garamond" w:cs="Times New Roman"/>
          <w:sz w:val="24"/>
          <w:szCs w:val="24"/>
        </w:rPr>
        <w:t>ellow is minimally achieved</w:t>
      </w:r>
      <w:r>
        <w:rPr>
          <w:rFonts w:ascii="Garamond" w:eastAsia="Times New Roman" w:hAnsi="Garamond" w:cs="Times New Roman"/>
          <w:sz w:val="24"/>
          <w:szCs w:val="24"/>
        </w:rPr>
        <w:t>;</w:t>
      </w:r>
      <w:r w:rsidR="00C25F41" w:rsidRPr="00644234">
        <w:rPr>
          <w:rFonts w:ascii="Garamond" w:eastAsia="Times New Roman" w:hAnsi="Garamond" w:cs="Times New Roman"/>
          <w:sz w:val="24"/>
          <w:szCs w:val="24"/>
        </w:rPr>
        <w:t xml:space="preserve"> and </w:t>
      </w:r>
    </w:p>
    <w:p w14:paraId="79F8BA80" w14:textId="345B4B0D" w:rsidR="00D575E6" w:rsidRDefault="00644234" w:rsidP="00791303">
      <w:pPr>
        <w:pStyle w:val="ListParagraph"/>
        <w:numPr>
          <w:ilvl w:val="0"/>
          <w:numId w:val="1"/>
        </w:numPr>
        <w:spacing w:before="100" w:beforeAutospacing="1" w:after="100" w:afterAutospacing="1" w:line="240" w:lineRule="auto"/>
        <w:outlineLvl w:val="0"/>
        <w:rPr>
          <w:rFonts w:ascii="Garamond" w:eastAsia="Times New Roman" w:hAnsi="Garamond" w:cs="Times New Roman"/>
          <w:sz w:val="24"/>
          <w:szCs w:val="24"/>
        </w:rPr>
      </w:pPr>
      <w:r>
        <w:rPr>
          <w:rFonts w:ascii="Garamond" w:eastAsia="Times New Roman" w:hAnsi="Garamond" w:cs="Times New Roman"/>
          <w:sz w:val="24"/>
          <w:szCs w:val="24"/>
        </w:rPr>
        <w:t>R</w:t>
      </w:r>
      <w:r w:rsidR="00C25F41" w:rsidRPr="00644234">
        <w:rPr>
          <w:rFonts w:ascii="Garamond" w:eastAsia="Times New Roman" w:hAnsi="Garamond" w:cs="Times New Roman"/>
          <w:sz w:val="24"/>
          <w:szCs w:val="24"/>
        </w:rPr>
        <w:t>ed is not achieved.</w:t>
      </w:r>
    </w:p>
    <w:p w14:paraId="5617B8AF" w14:textId="3104CF8C" w:rsidR="00D575E6" w:rsidRPr="009264E6" w:rsidRDefault="009917E1" w:rsidP="00D3224A">
      <w:pPr>
        <w:spacing w:before="100" w:beforeAutospacing="1" w:after="100" w:afterAutospacing="1" w:line="240" w:lineRule="auto"/>
        <w:outlineLvl w:val="0"/>
        <w:rPr>
          <w:rFonts w:ascii="Garamond" w:eastAsia="Times New Roman" w:hAnsi="Garamond" w:cs="Times New Roman"/>
          <w:sz w:val="24"/>
          <w:szCs w:val="24"/>
        </w:rPr>
      </w:pPr>
      <w:r>
        <w:rPr>
          <w:rFonts w:ascii="Garamond" w:eastAsia="Times New Roman" w:hAnsi="Garamond" w:cs="Times New Roman"/>
          <w:sz w:val="24"/>
          <w:szCs w:val="24"/>
        </w:rPr>
        <w:t>COM-FSM</w:t>
      </w:r>
      <w:r w:rsidR="00644234">
        <w:rPr>
          <w:rFonts w:ascii="Garamond" w:eastAsia="Times New Roman" w:hAnsi="Garamond" w:cs="Times New Roman"/>
          <w:sz w:val="24"/>
          <w:szCs w:val="24"/>
        </w:rPr>
        <w:t xml:space="preserve"> is considered to be fulfilling its mission</w:t>
      </w:r>
      <w:r>
        <w:rPr>
          <w:rFonts w:ascii="Garamond" w:eastAsia="Times New Roman" w:hAnsi="Garamond" w:cs="Times New Roman"/>
          <w:sz w:val="24"/>
          <w:szCs w:val="24"/>
        </w:rPr>
        <w:t xml:space="preserve"> provided no more than six (30%) of the 20 total </w:t>
      </w:r>
      <w:r w:rsidR="00644234">
        <w:rPr>
          <w:rFonts w:ascii="Garamond" w:eastAsia="Times New Roman" w:hAnsi="Garamond" w:cs="Times New Roman"/>
          <w:sz w:val="24"/>
          <w:szCs w:val="24"/>
        </w:rPr>
        <w:t>indicators are at the red level</w:t>
      </w:r>
      <w:r>
        <w:rPr>
          <w:rFonts w:ascii="Garamond" w:eastAsia="Times New Roman" w:hAnsi="Garamond" w:cs="Times New Roman"/>
          <w:sz w:val="24"/>
          <w:szCs w:val="24"/>
        </w:rPr>
        <w:t xml:space="preserve"> so that the college attains at least 70% of its indicators within the achieved (green) or minimally achieved (yellow) range.</w:t>
      </w:r>
    </w:p>
    <w:p w14:paraId="5AD79A34" w14:textId="3729E92F" w:rsidR="003F1DC6" w:rsidRPr="003F1DC6" w:rsidRDefault="003F1DC6" w:rsidP="003F1DC6">
      <w:pPr>
        <w:pStyle w:val="Caption"/>
        <w:keepNext/>
        <w:jc w:val="center"/>
        <w:rPr>
          <w:b/>
          <w:i w:val="0"/>
          <w:color w:val="auto"/>
          <w:sz w:val="28"/>
          <w:szCs w:val="28"/>
        </w:rPr>
      </w:pPr>
      <w:r w:rsidRPr="003F1DC6">
        <w:rPr>
          <w:b/>
          <w:i w:val="0"/>
          <w:color w:val="auto"/>
          <w:sz w:val="28"/>
          <w:szCs w:val="28"/>
        </w:rPr>
        <w:t>COM-FSM Status of Mission Indicators</w:t>
      </w:r>
    </w:p>
    <w:tbl>
      <w:tblPr>
        <w:tblW w:w="5000" w:type="pct"/>
        <w:tblLook w:val="04A0" w:firstRow="1" w:lastRow="0" w:firstColumn="1" w:lastColumn="0" w:noHBand="0" w:noVBand="1"/>
      </w:tblPr>
      <w:tblGrid>
        <w:gridCol w:w="2220"/>
        <w:gridCol w:w="2620"/>
        <w:gridCol w:w="2928"/>
        <w:gridCol w:w="2441"/>
        <w:gridCol w:w="2358"/>
        <w:gridCol w:w="2355"/>
      </w:tblGrid>
      <w:tr w:rsidR="00553CA2" w:rsidRPr="00D3224A" w14:paraId="59465F65" w14:textId="52489376" w:rsidTr="004129BF">
        <w:trPr>
          <w:trHeight w:val="449"/>
          <w:tblHeader/>
        </w:trPr>
        <w:tc>
          <w:tcPr>
            <w:tcW w:w="744" w:type="pct"/>
            <w:tcBorders>
              <w:top w:val="single" w:sz="4" w:space="0" w:color="auto"/>
              <w:left w:val="single" w:sz="4" w:space="0" w:color="auto"/>
              <w:bottom w:val="single" w:sz="4" w:space="0" w:color="auto"/>
              <w:right w:val="single" w:sz="4" w:space="0" w:color="auto"/>
            </w:tcBorders>
            <w:shd w:val="clear" w:color="000000" w:fill="BFBFBF"/>
            <w:hideMark/>
          </w:tcPr>
          <w:p w14:paraId="5AE263C2" w14:textId="10D9533C" w:rsidR="00553CA2" w:rsidRPr="005A0DEB" w:rsidRDefault="00553CA2" w:rsidP="005A0DEB">
            <w:pPr>
              <w:spacing w:after="0" w:line="240" w:lineRule="auto"/>
              <w:jc w:val="center"/>
              <w:rPr>
                <w:rFonts w:ascii="Calibri" w:eastAsia="Times New Roman" w:hAnsi="Calibri" w:cs="Times New Roman"/>
                <w:b/>
                <w:bCs/>
                <w:color w:val="000000"/>
                <w:sz w:val="20"/>
                <w:szCs w:val="20"/>
              </w:rPr>
            </w:pPr>
            <w:r w:rsidRPr="005A0DEB">
              <w:rPr>
                <w:rFonts w:ascii="Calibri" w:eastAsia="Times New Roman" w:hAnsi="Calibri" w:cs="Times New Roman"/>
                <w:b/>
                <w:bCs/>
                <w:color w:val="000000"/>
                <w:sz w:val="20"/>
                <w:szCs w:val="20"/>
              </w:rPr>
              <w:t>Mission Statement Criteria</w:t>
            </w:r>
          </w:p>
        </w:tc>
        <w:tc>
          <w:tcPr>
            <w:tcW w:w="878" w:type="pct"/>
            <w:tcBorders>
              <w:top w:val="single" w:sz="4" w:space="0" w:color="auto"/>
              <w:left w:val="nil"/>
              <w:bottom w:val="single" w:sz="4" w:space="0" w:color="auto"/>
              <w:right w:val="single" w:sz="4" w:space="0" w:color="auto"/>
            </w:tcBorders>
            <w:shd w:val="clear" w:color="000000" w:fill="BFBFBF"/>
            <w:hideMark/>
          </w:tcPr>
          <w:p w14:paraId="3A19F6B9" w14:textId="77777777" w:rsidR="00553CA2" w:rsidRPr="005A0DEB" w:rsidRDefault="00553CA2" w:rsidP="005A0DEB">
            <w:pPr>
              <w:spacing w:after="0" w:line="240" w:lineRule="auto"/>
              <w:jc w:val="center"/>
              <w:rPr>
                <w:rFonts w:ascii="Calibri" w:eastAsia="Times New Roman" w:hAnsi="Calibri" w:cs="Times New Roman"/>
                <w:b/>
                <w:bCs/>
                <w:color w:val="000000"/>
                <w:sz w:val="20"/>
                <w:szCs w:val="20"/>
              </w:rPr>
            </w:pPr>
            <w:r w:rsidRPr="005A0DEB">
              <w:rPr>
                <w:rFonts w:ascii="Calibri" w:eastAsia="Times New Roman" w:hAnsi="Calibri" w:cs="Times New Roman"/>
                <w:b/>
                <w:bCs/>
                <w:color w:val="000000"/>
                <w:sz w:val="20"/>
                <w:szCs w:val="20"/>
              </w:rPr>
              <w:t>Measures of Success</w:t>
            </w:r>
          </w:p>
        </w:tc>
        <w:tc>
          <w:tcPr>
            <w:tcW w:w="981" w:type="pct"/>
            <w:tcBorders>
              <w:top w:val="single" w:sz="4" w:space="0" w:color="auto"/>
              <w:left w:val="nil"/>
              <w:bottom w:val="single" w:sz="4" w:space="0" w:color="auto"/>
              <w:right w:val="single" w:sz="4" w:space="0" w:color="auto"/>
            </w:tcBorders>
            <w:shd w:val="clear" w:color="000000" w:fill="BFBFBF"/>
            <w:hideMark/>
          </w:tcPr>
          <w:p w14:paraId="111AEA9B" w14:textId="77777777" w:rsidR="00553CA2" w:rsidRPr="005A0DEB" w:rsidRDefault="00553CA2" w:rsidP="005A0DEB">
            <w:pPr>
              <w:spacing w:after="0" w:line="240" w:lineRule="auto"/>
              <w:jc w:val="center"/>
              <w:rPr>
                <w:rFonts w:ascii="Calibri" w:eastAsia="Times New Roman" w:hAnsi="Calibri" w:cs="Times New Roman"/>
                <w:b/>
                <w:bCs/>
                <w:color w:val="000000"/>
                <w:sz w:val="20"/>
                <w:szCs w:val="20"/>
              </w:rPr>
            </w:pPr>
            <w:r w:rsidRPr="005A0DEB">
              <w:rPr>
                <w:rFonts w:ascii="Calibri" w:eastAsia="Times New Roman" w:hAnsi="Calibri" w:cs="Times New Roman"/>
                <w:b/>
                <w:bCs/>
                <w:color w:val="000000"/>
                <w:sz w:val="20"/>
                <w:szCs w:val="20"/>
              </w:rPr>
              <w:t>Indicator Data</w:t>
            </w:r>
          </w:p>
        </w:tc>
        <w:tc>
          <w:tcPr>
            <w:tcW w:w="818" w:type="pct"/>
            <w:tcBorders>
              <w:top w:val="single" w:sz="4" w:space="0" w:color="auto"/>
              <w:left w:val="nil"/>
              <w:bottom w:val="single" w:sz="4" w:space="0" w:color="auto"/>
              <w:right w:val="single" w:sz="4" w:space="0" w:color="auto"/>
            </w:tcBorders>
            <w:shd w:val="clear" w:color="000000" w:fill="BFBFBF"/>
            <w:hideMark/>
          </w:tcPr>
          <w:p w14:paraId="50A6F627" w14:textId="7C5AE4EF" w:rsidR="00553CA2" w:rsidRPr="005A0DEB" w:rsidRDefault="00553CA2" w:rsidP="005A0DEB">
            <w:pPr>
              <w:spacing w:after="0" w:line="240" w:lineRule="auto"/>
              <w:jc w:val="center"/>
              <w:rPr>
                <w:rFonts w:ascii="Calibri" w:eastAsia="Times New Roman" w:hAnsi="Calibri" w:cs="Times New Roman"/>
                <w:b/>
                <w:bCs/>
                <w:color w:val="000000"/>
                <w:sz w:val="20"/>
                <w:szCs w:val="20"/>
              </w:rPr>
            </w:pPr>
            <w:r w:rsidRPr="005A0DEB">
              <w:rPr>
                <w:rFonts w:ascii="Calibri" w:eastAsia="Times New Roman" w:hAnsi="Calibri" w:cs="Times New Roman"/>
                <w:b/>
                <w:bCs/>
                <w:color w:val="000000"/>
                <w:sz w:val="20"/>
                <w:szCs w:val="20"/>
              </w:rPr>
              <w:t>Threshold</w:t>
            </w:r>
          </w:p>
        </w:tc>
        <w:tc>
          <w:tcPr>
            <w:tcW w:w="790" w:type="pct"/>
            <w:tcBorders>
              <w:top w:val="single" w:sz="4" w:space="0" w:color="auto"/>
              <w:left w:val="nil"/>
              <w:bottom w:val="single" w:sz="4" w:space="0" w:color="auto"/>
              <w:right w:val="single" w:sz="4" w:space="0" w:color="auto"/>
            </w:tcBorders>
            <w:shd w:val="clear" w:color="000000" w:fill="BFBFBF"/>
          </w:tcPr>
          <w:p w14:paraId="303E18B3" w14:textId="77777777" w:rsidR="00553CA2" w:rsidRPr="005A0DEB" w:rsidRDefault="00553CA2" w:rsidP="005A0DEB">
            <w:pPr>
              <w:spacing w:after="0" w:line="240" w:lineRule="auto"/>
              <w:jc w:val="center"/>
              <w:rPr>
                <w:rFonts w:ascii="Calibri" w:eastAsia="Times New Roman" w:hAnsi="Calibri" w:cs="Times New Roman"/>
                <w:b/>
                <w:bCs/>
                <w:color w:val="FF0000"/>
                <w:sz w:val="20"/>
                <w:szCs w:val="20"/>
              </w:rPr>
            </w:pPr>
            <w:r w:rsidRPr="005A0DEB">
              <w:rPr>
                <w:rFonts w:ascii="Calibri" w:eastAsia="Times New Roman" w:hAnsi="Calibri" w:cs="Times New Roman"/>
                <w:b/>
                <w:bCs/>
                <w:color w:val="000000" w:themeColor="text1"/>
                <w:sz w:val="20"/>
                <w:szCs w:val="20"/>
              </w:rPr>
              <w:t>Type of Threshold</w:t>
            </w:r>
          </w:p>
        </w:tc>
        <w:tc>
          <w:tcPr>
            <w:tcW w:w="789" w:type="pct"/>
            <w:tcBorders>
              <w:top w:val="single" w:sz="4" w:space="0" w:color="auto"/>
              <w:left w:val="nil"/>
              <w:bottom w:val="single" w:sz="4" w:space="0" w:color="auto"/>
              <w:right w:val="single" w:sz="4" w:space="0" w:color="auto"/>
            </w:tcBorders>
            <w:shd w:val="clear" w:color="000000" w:fill="BFBFBF"/>
          </w:tcPr>
          <w:p w14:paraId="454DF51A" w14:textId="25B47799" w:rsidR="00553CA2" w:rsidRPr="005A0DEB" w:rsidRDefault="00553CA2" w:rsidP="005A0DEB">
            <w:pPr>
              <w:spacing w:after="0" w:line="240" w:lineRule="auto"/>
              <w:jc w:val="center"/>
              <w:rPr>
                <w:rFonts w:ascii="Calibri" w:eastAsia="Times New Roman" w:hAnsi="Calibri" w:cs="Times New Roman"/>
                <w:b/>
                <w:bCs/>
                <w:color w:val="000000" w:themeColor="text1"/>
                <w:sz w:val="20"/>
                <w:szCs w:val="20"/>
              </w:rPr>
            </w:pPr>
            <w:r w:rsidRPr="005A0DEB">
              <w:rPr>
                <w:rFonts w:ascii="Calibri" w:eastAsia="Times New Roman" w:hAnsi="Calibri" w:cs="Times New Roman"/>
                <w:b/>
                <w:bCs/>
                <w:color w:val="000000" w:themeColor="text1"/>
                <w:sz w:val="20"/>
                <w:szCs w:val="20"/>
              </w:rPr>
              <w:t>Achievement Status</w:t>
            </w:r>
          </w:p>
        </w:tc>
      </w:tr>
      <w:tr w:rsidR="00553CA2" w:rsidRPr="00D3224A" w14:paraId="7B5EA63A" w14:textId="5AC0BB1D" w:rsidTr="004129BF">
        <w:trPr>
          <w:trHeight w:val="521"/>
        </w:trPr>
        <w:tc>
          <w:tcPr>
            <w:tcW w:w="744" w:type="pct"/>
            <w:vMerge w:val="restart"/>
            <w:tcBorders>
              <w:top w:val="single" w:sz="4" w:space="0" w:color="auto"/>
              <w:left w:val="single" w:sz="4" w:space="0" w:color="auto"/>
              <w:bottom w:val="single" w:sz="4" w:space="0" w:color="auto"/>
              <w:right w:val="nil"/>
            </w:tcBorders>
            <w:shd w:val="clear" w:color="auto" w:fill="auto"/>
            <w:hideMark/>
          </w:tcPr>
          <w:p w14:paraId="7BC693C2" w14:textId="77777777" w:rsidR="00553CA2" w:rsidRPr="00D3224A" w:rsidRDefault="00553CA2" w:rsidP="00D5622C">
            <w:pPr>
              <w:spacing w:after="0" w:line="240" w:lineRule="auto"/>
              <w:rPr>
                <w:rFonts w:ascii="Garamond" w:eastAsia="Times New Roman" w:hAnsi="Garamond" w:cs="Times New Roman"/>
                <w:b/>
                <w:bCs/>
                <w:color w:val="000000"/>
                <w:sz w:val="20"/>
                <w:szCs w:val="20"/>
              </w:rPr>
            </w:pPr>
            <w:r w:rsidRPr="00D3224A">
              <w:rPr>
                <w:rFonts w:ascii="Garamond" w:eastAsia="Times New Roman" w:hAnsi="Garamond" w:cs="Times New Roman"/>
                <w:b/>
                <w:bCs/>
                <w:color w:val="000000"/>
                <w:sz w:val="20"/>
                <w:szCs w:val="20"/>
              </w:rPr>
              <w:t>The College of Micronesia-FSM is a learner-centered institution of higher education</w:t>
            </w:r>
          </w:p>
        </w:tc>
        <w:tc>
          <w:tcPr>
            <w:tcW w:w="878" w:type="pct"/>
            <w:tcBorders>
              <w:top w:val="nil"/>
              <w:left w:val="single" w:sz="4" w:space="0" w:color="auto"/>
              <w:bottom w:val="single" w:sz="4" w:space="0" w:color="auto"/>
              <w:right w:val="single" w:sz="4" w:space="0" w:color="auto"/>
            </w:tcBorders>
            <w:shd w:val="clear" w:color="auto" w:fill="auto"/>
          </w:tcPr>
          <w:p w14:paraId="0C1F732A" w14:textId="17A8C0CB" w:rsidR="00553CA2" w:rsidRPr="004C5756" w:rsidRDefault="00553CA2" w:rsidP="00D5622C">
            <w:pPr>
              <w:spacing w:after="0" w:line="240" w:lineRule="auto"/>
              <w:rPr>
                <w:rFonts w:ascii="Garamond" w:eastAsia="Times New Roman" w:hAnsi="Garamond" w:cs="Times New Roman"/>
                <w:bCs/>
                <w:color w:val="000000" w:themeColor="text1"/>
                <w:sz w:val="20"/>
                <w:szCs w:val="20"/>
              </w:rPr>
            </w:pPr>
            <w:r w:rsidRPr="004C5756">
              <w:rPr>
                <w:rFonts w:ascii="Garamond" w:eastAsia="Times New Roman" w:hAnsi="Garamond" w:cs="Times New Roman"/>
                <w:bCs/>
                <w:color w:val="000000" w:themeColor="text1"/>
                <w:sz w:val="20"/>
                <w:szCs w:val="20"/>
              </w:rPr>
              <w:t>Indicator(s) measuring SLO attainment at the course and/or program level</w:t>
            </w:r>
          </w:p>
        </w:tc>
        <w:tc>
          <w:tcPr>
            <w:tcW w:w="981" w:type="pct"/>
            <w:tcBorders>
              <w:top w:val="nil"/>
              <w:left w:val="nil"/>
              <w:bottom w:val="single" w:sz="4" w:space="0" w:color="auto"/>
              <w:right w:val="single" w:sz="4" w:space="0" w:color="auto"/>
            </w:tcBorders>
            <w:shd w:val="clear" w:color="auto" w:fill="auto"/>
          </w:tcPr>
          <w:p w14:paraId="1BBC5CC7" w14:textId="77777777" w:rsidR="00553CA2" w:rsidRDefault="00553CA2" w:rsidP="00D5622C">
            <w:pPr>
              <w:spacing w:after="0" w:line="240" w:lineRule="auto"/>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Compared against past performance longitudinally.</w:t>
            </w:r>
          </w:p>
          <w:p w14:paraId="2D91C523" w14:textId="2AE32164" w:rsidR="002346D2" w:rsidRPr="009264E6" w:rsidRDefault="002346D2" w:rsidP="00D5622C">
            <w:pPr>
              <w:spacing w:after="0" w:line="240" w:lineRule="auto"/>
              <w:rPr>
                <w:rFonts w:ascii="Garamond" w:eastAsia="Times New Roman" w:hAnsi="Garamond" w:cs="Times New Roman"/>
                <w:bCs/>
                <w:color w:val="000000"/>
                <w:sz w:val="20"/>
                <w:szCs w:val="20"/>
                <w:vertAlign w:val="superscript"/>
              </w:rPr>
            </w:pPr>
            <w:r w:rsidRPr="000B5D7E">
              <w:rPr>
                <w:rFonts w:ascii="Garamond" w:eastAsia="Times New Roman" w:hAnsi="Garamond" w:cs="Times New Roman"/>
                <w:bCs/>
                <w:color w:val="000000"/>
                <w:sz w:val="20"/>
                <w:szCs w:val="20"/>
              </w:rPr>
              <w:t>To be calculated</w:t>
            </w:r>
            <w:r w:rsidR="009264E6" w:rsidRPr="000B5D7E">
              <w:rPr>
                <w:rStyle w:val="FootnoteReference"/>
                <w:rFonts w:ascii="Garamond" w:eastAsia="Times New Roman" w:hAnsi="Garamond" w:cs="Times New Roman"/>
                <w:bCs/>
                <w:color w:val="000000"/>
                <w:sz w:val="20"/>
                <w:szCs w:val="20"/>
              </w:rPr>
              <w:footnoteReference w:id="1"/>
            </w:r>
            <w:r w:rsidR="009264E6" w:rsidRPr="000B5D7E">
              <w:rPr>
                <w:rFonts w:ascii="Garamond" w:eastAsia="Times New Roman" w:hAnsi="Garamond" w:cs="Times New Roman"/>
                <w:bCs/>
                <w:color w:val="000000"/>
                <w:sz w:val="20"/>
                <w:szCs w:val="20"/>
              </w:rPr>
              <w:t>.</w:t>
            </w:r>
          </w:p>
        </w:tc>
        <w:tc>
          <w:tcPr>
            <w:tcW w:w="818" w:type="pct"/>
            <w:tcBorders>
              <w:top w:val="nil"/>
              <w:left w:val="nil"/>
              <w:bottom w:val="single" w:sz="4" w:space="0" w:color="auto"/>
              <w:right w:val="single" w:sz="4" w:space="0" w:color="auto"/>
            </w:tcBorders>
            <w:shd w:val="clear" w:color="auto" w:fill="auto"/>
          </w:tcPr>
          <w:p w14:paraId="6AD2EEBC" w14:textId="0082C16D" w:rsidR="00553CA2" w:rsidRDefault="00553CA2" w:rsidP="00D5622C">
            <w:pPr>
              <w:spacing w:after="0" w:line="240" w:lineRule="auto"/>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Percent of students meeting CSLOs:</w:t>
            </w:r>
            <w:r w:rsidR="000B5D7E">
              <w:rPr>
                <w:rFonts w:ascii="Garamond" w:eastAsia="Times New Roman" w:hAnsi="Garamond" w:cs="Times New Roman"/>
                <w:bCs/>
                <w:color w:val="000000"/>
                <w:sz w:val="20"/>
                <w:szCs w:val="20"/>
              </w:rPr>
              <w:t xml:space="preserve"> (TBD)</w:t>
            </w:r>
          </w:p>
          <w:p w14:paraId="0EAC7101" w14:textId="1CD1B139" w:rsidR="00553CA2" w:rsidRDefault="00553CA2" w:rsidP="00D5622C">
            <w:pPr>
              <w:spacing w:after="0" w:line="240" w:lineRule="auto"/>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 xml:space="preserve">Green </w:t>
            </w:r>
            <w:r w:rsidRPr="009F51CB">
              <w:rPr>
                <w:rFonts w:ascii="Garamond" w:eastAsia="Times New Roman" w:hAnsi="Garamond" w:cs="Times New Roman"/>
                <w:bCs/>
                <w:color w:val="FF0000"/>
                <w:sz w:val="20"/>
                <w:szCs w:val="20"/>
              </w:rPr>
              <w:t>X</w:t>
            </w:r>
          </w:p>
          <w:p w14:paraId="16F0644C" w14:textId="7AC85D22" w:rsidR="00553CA2" w:rsidRDefault="00553CA2" w:rsidP="00D5622C">
            <w:pPr>
              <w:spacing w:after="0" w:line="240" w:lineRule="auto"/>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 xml:space="preserve">Yellow </w:t>
            </w:r>
            <w:r w:rsidRPr="009F51CB">
              <w:rPr>
                <w:rFonts w:ascii="Garamond" w:eastAsia="Times New Roman" w:hAnsi="Garamond" w:cs="Times New Roman"/>
                <w:bCs/>
                <w:color w:val="FF0000"/>
                <w:sz w:val="20"/>
                <w:szCs w:val="20"/>
              </w:rPr>
              <w:t>X</w:t>
            </w:r>
          </w:p>
          <w:p w14:paraId="44E69867" w14:textId="77A9B283" w:rsidR="00553CA2" w:rsidRDefault="00553CA2" w:rsidP="00D5622C">
            <w:pPr>
              <w:spacing w:after="0" w:line="240" w:lineRule="auto"/>
              <w:rPr>
                <w:rFonts w:ascii="Garamond" w:eastAsia="Times New Roman" w:hAnsi="Garamond" w:cs="Times New Roman"/>
                <w:bCs/>
                <w:color w:val="FF0000"/>
                <w:sz w:val="20"/>
                <w:szCs w:val="20"/>
              </w:rPr>
            </w:pPr>
            <w:r>
              <w:rPr>
                <w:rFonts w:ascii="Garamond" w:eastAsia="Times New Roman" w:hAnsi="Garamond" w:cs="Times New Roman"/>
                <w:bCs/>
                <w:color w:val="000000"/>
                <w:sz w:val="20"/>
                <w:szCs w:val="20"/>
              </w:rPr>
              <w:t xml:space="preserve">Red </w:t>
            </w:r>
            <w:r w:rsidRPr="009F51CB">
              <w:rPr>
                <w:rFonts w:ascii="Garamond" w:eastAsia="Times New Roman" w:hAnsi="Garamond" w:cs="Times New Roman"/>
                <w:bCs/>
                <w:color w:val="FF0000"/>
                <w:sz w:val="20"/>
                <w:szCs w:val="20"/>
              </w:rPr>
              <w:t>X</w:t>
            </w:r>
          </w:p>
          <w:p w14:paraId="072A6363" w14:textId="77777777" w:rsidR="00553CA2" w:rsidRPr="00544701" w:rsidRDefault="00553CA2" w:rsidP="00D5622C">
            <w:pPr>
              <w:spacing w:after="0" w:line="240" w:lineRule="auto"/>
              <w:rPr>
                <w:rFonts w:ascii="Garamond" w:eastAsia="Times New Roman" w:hAnsi="Garamond" w:cs="Times New Roman"/>
                <w:bCs/>
                <w:color w:val="000000" w:themeColor="text1"/>
                <w:sz w:val="20"/>
                <w:szCs w:val="20"/>
              </w:rPr>
            </w:pPr>
            <w:r w:rsidRPr="00544701">
              <w:rPr>
                <w:rFonts w:ascii="Garamond" w:eastAsia="Times New Roman" w:hAnsi="Garamond" w:cs="Times New Roman"/>
                <w:bCs/>
                <w:color w:val="000000" w:themeColor="text1"/>
                <w:sz w:val="20"/>
                <w:szCs w:val="20"/>
              </w:rPr>
              <w:t>Percent of students meeting PSLOs:</w:t>
            </w:r>
          </w:p>
          <w:p w14:paraId="12D6B7A4" w14:textId="77777777" w:rsidR="00553CA2" w:rsidRDefault="00553CA2" w:rsidP="00FD3F4A">
            <w:pPr>
              <w:spacing w:after="0" w:line="240" w:lineRule="auto"/>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 xml:space="preserve">Green </w:t>
            </w:r>
            <w:r w:rsidRPr="009F51CB">
              <w:rPr>
                <w:rFonts w:ascii="Garamond" w:eastAsia="Times New Roman" w:hAnsi="Garamond" w:cs="Times New Roman"/>
                <w:bCs/>
                <w:color w:val="FF0000"/>
                <w:sz w:val="20"/>
                <w:szCs w:val="20"/>
              </w:rPr>
              <w:t>X</w:t>
            </w:r>
          </w:p>
          <w:p w14:paraId="524FD6A9" w14:textId="77777777" w:rsidR="00553CA2" w:rsidRDefault="00553CA2" w:rsidP="00FD3F4A">
            <w:pPr>
              <w:spacing w:after="0" w:line="240" w:lineRule="auto"/>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 xml:space="preserve">Yellow </w:t>
            </w:r>
            <w:r w:rsidRPr="009F51CB">
              <w:rPr>
                <w:rFonts w:ascii="Garamond" w:eastAsia="Times New Roman" w:hAnsi="Garamond" w:cs="Times New Roman"/>
                <w:bCs/>
                <w:color w:val="FF0000"/>
                <w:sz w:val="20"/>
                <w:szCs w:val="20"/>
              </w:rPr>
              <w:t>X</w:t>
            </w:r>
          </w:p>
          <w:p w14:paraId="7D554A5B" w14:textId="5967CCB8" w:rsidR="00553CA2" w:rsidRPr="00544701" w:rsidRDefault="00553CA2" w:rsidP="00D5622C">
            <w:pPr>
              <w:spacing w:after="0" w:line="240" w:lineRule="auto"/>
              <w:rPr>
                <w:rFonts w:ascii="Garamond" w:eastAsia="Times New Roman" w:hAnsi="Garamond" w:cs="Times New Roman"/>
                <w:bCs/>
                <w:color w:val="FF0000"/>
                <w:sz w:val="20"/>
                <w:szCs w:val="20"/>
              </w:rPr>
            </w:pPr>
            <w:r>
              <w:rPr>
                <w:rFonts w:ascii="Garamond" w:eastAsia="Times New Roman" w:hAnsi="Garamond" w:cs="Times New Roman"/>
                <w:bCs/>
                <w:color w:val="000000"/>
                <w:sz w:val="20"/>
                <w:szCs w:val="20"/>
              </w:rPr>
              <w:t xml:space="preserve">Red </w:t>
            </w:r>
            <w:r w:rsidRPr="009F51CB">
              <w:rPr>
                <w:rFonts w:ascii="Garamond" w:eastAsia="Times New Roman" w:hAnsi="Garamond" w:cs="Times New Roman"/>
                <w:bCs/>
                <w:color w:val="FF0000"/>
                <w:sz w:val="20"/>
                <w:szCs w:val="20"/>
              </w:rPr>
              <w:t>X</w:t>
            </w:r>
          </w:p>
        </w:tc>
        <w:tc>
          <w:tcPr>
            <w:tcW w:w="790" w:type="pct"/>
            <w:tcBorders>
              <w:top w:val="nil"/>
              <w:left w:val="nil"/>
              <w:bottom w:val="single" w:sz="4" w:space="0" w:color="auto"/>
              <w:right w:val="single" w:sz="4" w:space="0" w:color="auto"/>
            </w:tcBorders>
          </w:tcPr>
          <w:p w14:paraId="4C1276A6" w14:textId="477BD8A6" w:rsidR="00553CA2" w:rsidRPr="00275E9A" w:rsidRDefault="00553CA2" w:rsidP="00AB75BA">
            <w:pPr>
              <w:spacing w:after="0" w:line="240" w:lineRule="auto"/>
              <w:rPr>
                <w:rFonts w:ascii="Garamond" w:eastAsia="Times New Roman" w:hAnsi="Garamond" w:cs="Times New Roman"/>
                <w:bCs/>
                <w:color w:val="FF0000"/>
                <w:sz w:val="20"/>
                <w:szCs w:val="20"/>
              </w:rPr>
            </w:pPr>
            <w:r w:rsidRPr="00105864">
              <w:rPr>
                <w:rFonts w:ascii="Garamond" w:eastAsia="Times New Roman" w:hAnsi="Garamond" w:cs="Times New Roman"/>
                <w:bCs/>
                <w:color w:val="000000" w:themeColor="text1"/>
                <w:sz w:val="20"/>
                <w:szCs w:val="20"/>
              </w:rPr>
              <w:t>Local</w:t>
            </w:r>
            <w:r w:rsidRPr="00050504">
              <w:rPr>
                <w:rFonts w:ascii="Garamond" w:eastAsia="Times New Roman" w:hAnsi="Garamond" w:cs="Times New Roman"/>
                <w:bCs/>
                <w:color w:val="FF0000"/>
                <w:sz w:val="20"/>
                <w:szCs w:val="20"/>
              </w:rPr>
              <w:t xml:space="preserve"> </w:t>
            </w:r>
            <w:r w:rsidRPr="00105864">
              <w:rPr>
                <w:rFonts w:ascii="Garamond" w:eastAsia="Times New Roman" w:hAnsi="Garamond" w:cs="Times New Roman"/>
                <w:bCs/>
                <w:color w:val="000000" w:themeColor="text1"/>
                <w:sz w:val="20"/>
                <w:szCs w:val="20"/>
              </w:rPr>
              <w:t>benchmark</w:t>
            </w:r>
          </w:p>
        </w:tc>
        <w:tc>
          <w:tcPr>
            <w:tcW w:w="789" w:type="pct"/>
            <w:tcBorders>
              <w:top w:val="nil"/>
              <w:left w:val="nil"/>
              <w:bottom w:val="single" w:sz="4" w:space="0" w:color="auto"/>
              <w:right w:val="single" w:sz="4" w:space="0" w:color="auto"/>
            </w:tcBorders>
            <w:shd w:val="clear" w:color="auto" w:fill="FF0000"/>
          </w:tcPr>
          <w:p w14:paraId="2ED72B1E" w14:textId="051D2DF3" w:rsidR="00553CA2" w:rsidRPr="00105864" w:rsidRDefault="00553CA2" w:rsidP="00AB75BA">
            <w:pPr>
              <w:spacing w:after="0" w:line="240" w:lineRule="auto"/>
              <w:rPr>
                <w:rFonts w:ascii="Garamond" w:eastAsia="Times New Roman" w:hAnsi="Garamond" w:cs="Times New Roman"/>
                <w:bCs/>
                <w:color w:val="000000" w:themeColor="text1"/>
                <w:sz w:val="20"/>
                <w:szCs w:val="20"/>
              </w:rPr>
            </w:pPr>
          </w:p>
        </w:tc>
      </w:tr>
      <w:tr w:rsidR="00553CA2" w:rsidRPr="00D3224A" w14:paraId="21A8914F" w14:textId="0F9DE0BD" w:rsidTr="00791303">
        <w:trPr>
          <w:trHeight w:val="345"/>
        </w:trPr>
        <w:tc>
          <w:tcPr>
            <w:tcW w:w="744" w:type="pct"/>
            <w:vMerge/>
            <w:tcBorders>
              <w:top w:val="nil"/>
              <w:left w:val="single" w:sz="4" w:space="0" w:color="auto"/>
              <w:bottom w:val="single" w:sz="4" w:space="0" w:color="auto"/>
              <w:right w:val="nil"/>
            </w:tcBorders>
            <w:shd w:val="clear" w:color="auto" w:fill="auto"/>
          </w:tcPr>
          <w:p w14:paraId="1C9AAA56" w14:textId="1F447221" w:rsidR="00553CA2" w:rsidRPr="00D3224A" w:rsidRDefault="00553CA2" w:rsidP="00D5622C">
            <w:pPr>
              <w:spacing w:after="0" w:line="240" w:lineRule="auto"/>
              <w:rPr>
                <w:rFonts w:ascii="Garamond" w:eastAsia="Times New Roman" w:hAnsi="Garamond" w:cs="Times New Roman"/>
                <w:b/>
                <w:bCs/>
                <w:color w:val="000000"/>
                <w:sz w:val="20"/>
                <w:szCs w:val="20"/>
              </w:rPr>
            </w:pPr>
          </w:p>
        </w:tc>
        <w:tc>
          <w:tcPr>
            <w:tcW w:w="878" w:type="pct"/>
            <w:tcBorders>
              <w:top w:val="nil"/>
              <w:left w:val="single" w:sz="4" w:space="0" w:color="auto"/>
              <w:bottom w:val="single" w:sz="4" w:space="0" w:color="auto"/>
              <w:right w:val="single" w:sz="4" w:space="0" w:color="auto"/>
            </w:tcBorders>
            <w:shd w:val="clear" w:color="auto" w:fill="auto"/>
          </w:tcPr>
          <w:p w14:paraId="74856FF1" w14:textId="197AC4F3" w:rsidR="00553CA2" w:rsidRPr="00AB75BA" w:rsidRDefault="00553CA2" w:rsidP="00D5622C">
            <w:pPr>
              <w:spacing w:after="0" w:line="240" w:lineRule="auto"/>
              <w:rPr>
                <w:rFonts w:ascii="Garamond" w:eastAsia="Times New Roman" w:hAnsi="Garamond" w:cs="Times New Roman"/>
                <w:bCs/>
                <w:sz w:val="20"/>
                <w:szCs w:val="20"/>
              </w:rPr>
            </w:pPr>
            <w:r w:rsidRPr="00AB75BA">
              <w:rPr>
                <w:rFonts w:ascii="Garamond" w:eastAsia="Times New Roman" w:hAnsi="Garamond" w:cs="Times New Roman"/>
                <w:bCs/>
                <w:sz w:val="20"/>
                <w:szCs w:val="20"/>
              </w:rPr>
              <w:t>100% of faculty will complete an assessment of student learning for each course taught for every semester they teach.</w:t>
            </w:r>
          </w:p>
        </w:tc>
        <w:tc>
          <w:tcPr>
            <w:tcW w:w="981" w:type="pct"/>
            <w:tcBorders>
              <w:top w:val="nil"/>
              <w:left w:val="nil"/>
              <w:bottom w:val="single" w:sz="4" w:space="0" w:color="auto"/>
              <w:right w:val="single" w:sz="4" w:space="0" w:color="auto"/>
            </w:tcBorders>
            <w:shd w:val="clear" w:color="auto" w:fill="auto"/>
          </w:tcPr>
          <w:p w14:paraId="3E24746D" w14:textId="7D506552" w:rsidR="00553CA2" w:rsidRPr="00AB75BA" w:rsidRDefault="00553CA2" w:rsidP="00D5622C">
            <w:pPr>
              <w:spacing w:after="0" w:line="240" w:lineRule="auto"/>
              <w:rPr>
                <w:rFonts w:ascii="Garamond" w:eastAsia="Times New Roman" w:hAnsi="Garamond" w:cs="Times New Roman"/>
                <w:bCs/>
                <w:sz w:val="20"/>
                <w:szCs w:val="20"/>
              </w:rPr>
            </w:pPr>
            <w:r w:rsidRPr="00AB75BA">
              <w:rPr>
                <w:rFonts w:ascii="Garamond" w:eastAsia="Times New Roman" w:hAnsi="Garamond" w:cs="Times New Roman"/>
                <w:bCs/>
                <w:sz w:val="20"/>
                <w:szCs w:val="20"/>
              </w:rPr>
              <w:t>Classroom Assessment Reports</w:t>
            </w:r>
          </w:p>
        </w:tc>
        <w:tc>
          <w:tcPr>
            <w:tcW w:w="818" w:type="pct"/>
            <w:tcBorders>
              <w:top w:val="nil"/>
              <w:left w:val="nil"/>
              <w:bottom w:val="single" w:sz="4" w:space="0" w:color="auto"/>
              <w:right w:val="single" w:sz="4" w:space="0" w:color="auto"/>
            </w:tcBorders>
            <w:shd w:val="clear" w:color="auto" w:fill="auto"/>
          </w:tcPr>
          <w:p w14:paraId="4CD96677" w14:textId="52747FFD" w:rsidR="00553CA2" w:rsidRPr="00AB75BA" w:rsidRDefault="00553CA2" w:rsidP="00D5622C">
            <w:pPr>
              <w:spacing w:after="0" w:line="240" w:lineRule="auto"/>
              <w:rPr>
                <w:rFonts w:ascii="Garamond" w:eastAsia="Times New Roman" w:hAnsi="Garamond" w:cs="Times New Roman"/>
                <w:bCs/>
                <w:sz w:val="20"/>
                <w:szCs w:val="20"/>
              </w:rPr>
            </w:pPr>
            <w:r w:rsidRPr="00AB75BA">
              <w:rPr>
                <w:rFonts w:ascii="Garamond" w:eastAsia="Times New Roman" w:hAnsi="Garamond" w:cs="Times New Roman"/>
                <w:bCs/>
                <w:sz w:val="20"/>
                <w:szCs w:val="20"/>
              </w:rPr>
              <w:t>Percent faculty completing assessments:</w:t>
            </w:r>
          </w:p>
          <w:p w14:paraId="4B8FB773" w14:textId="1D9827C1" w:rsidR="00553CA2" w:rsidRPr="00AB75BA" w:rsidRDefault="00553CA2" w:rsidP="00D5622C">
            <w:pPr>
              <w:spacing w:after="0" w:line="240" w:lineRule="auto"/>
              <w:rPr>
                <w:rFonts w:ascii="Garamond" w:eastAsia="Times New Roman" w:hAnsi="Garamond" w:cs="Times New Roman"/>
                <w:bCs/>
                <w:sz w:val="20"/>
                <w:szCs w:val="20"/>
              </w:rPr>
            </w:pPr>
            <w:r w:rsidRPr="00AB75BA">
              <w:rPr>
                <w:rFonts w:ascii="Garamond" w:eastAsia="Times New Roman" w:hAnsi="Garamond" w:cs="Times New Roman"/>
                <w:bCs/>
                <w:sz w:val="20"/>
                <w:szCs w:val="20"/>
              </w:rPr>
              <w:t>Green 98-100%</w:t>
            </w:r>
          </w:p>
          <w:p w14:paraId="7B31F4B5" w14:textId="21BBCF72" w:rsidR="00553CA2" w:rsidRPr="00AB75BA" w:rsidRDefault="00553CA2" w:rsidP="00D5622C">
            <w:pPr>
              <w:spacing w:after="0" w:line="240" w:lineRule="auto"/>
              <w:rPr>
                <w:rFonts w:ascii="Garamond" w:eastAsia="Times New Roman" w:hAnsi="Garamond" w:cs="Times New Roman"/>
                <w:bCs/>
                <w:sz w:val="20"/>
                <w:szCs w:val="20"/>
              </w:rPr>
            </w:pPr>
            <w:r w:rsidRPr="00AB75BA">
              <w:rPr>
                <w:rFonts w:ascii="Garamond" w:eastAsia="Times New Roman" w:hAnsi="Garamond" w:cs="Times New Roman"/>
                <w:bCs/>
                <w:sz w:val="20"/>
                <w:szCs w:val="20"/>
              </w:rPr>
              <w:t xml:space="preserve">Yellow </w:t>
            </w:r>
            <w:r w:rsidR="00B07B7B">
              <w:rPr>
                <w:rFonts w:ascii="Garamond" w:eastAsia="Times New Roman" w:hAnsi="Garamond" w:cs="Times New Roman"/>
                <w:bCs/>
                <w:sz w:val="20"/>
                <w:szCs w:val="20"/>
              </w:rPr>
              <w:t>=</w:t>
            </w:r>
            <w:r w:rsidRPr="00AB75BA">
              <w:rPr>
                <w:rFonts w:ascii="Garamond" w:eastAsia="Times New Roman" w:hAnsi="Garamond" w:cs="Times New Roman"/>
                <w:bCs/>
                <w:sz w:val="20"/>
                <w:szCs w:val="20"/>
              </w:rPr>
              <w:t xml:space="preserve">95-98% </w:t>
            </w:r>
          </w:p>
          <w:p w14:paraId="17934773" w14:textId="05D411FA" w:rsidR="00553CA2" w:rsidRPr="00AB75BA" w:rsidRDefault="00553CA2" w:rsidP="00D5622C">
            <w:pPr>
              <w:spacing w:after="0" w:line="240" w:lineRule="auto"/>
              <w:rPr>
                <w:rFonts w:ascii="Garamond" w:eastAsia="Times New Roman" w:hAnsi="Garamond" w:cs="Times New Roman"/>
                <w:bCs/>
                <w:sz w:val="20"/>
                <w:szCs w:val="20"/>
              </w:rPr>
            </w:pPr>
            <w:r w:rsidRPr="00AB75BA">
              <w:rPr>
                <w:rFonts w:ascii="Garamond" w:eastAsia="Times New Roman" w:hAnsi="Garamond" w:cs="Times New Roman"/>
                <w:bCs/>
                <w:sz w:val="20"/>
                <w:szCs w:val="20"/>
              </w:rPr>
              <w:t>Red &lt;95%</w:t>
            </w:r>
          </w:p>
        </w:tc>
        <w:tc>
          <w:tcPr>
            <w:tcW w:w="790" w:type="pct"/>
            <w:tcBorders>
              <w:top w:val="nil"/>
              <w:left w:val="nil"/>
              <w:bottom w:val="single" w:sz="4" w:space="0" w:color="auto"/>
              <w:right w:val="single" w:sz="4" w:space="0" w:color="auto"/>
            </w:tcBorders>
          </w:tcPr>
          <w:p w14:paraId="0828D60E" w14:textId="3F863E06" w:rsidR="00553CA2" w:rsidRPr="00AB75BA" w:rsidRDefault="00553CA2" w:rsidP="00D5622C">
            <w:pPr>
              <w:spacing w:after="0" w:line="240" w:lineRule="auto"/>
              <w:rPr>
                <w:rFonts w:ascii="Garamond" w:eastAsia="Times New Roman" w:hAnsi="Garamond" w:cs="Times New Roman"/>
                <w:bCs/>
                <w:sz w:val="20"/>
                <w:szCs w:val="20"/>
              </w:rPr>
            </w:pPr>
            <w:r w:rsidRPr="00AB75BA">
              <w:rPr>
                <w:rFonts w:ascii="Garamond" w:eastAsia="Times New Roman" w:hAnsi="Garamond" w:cs="Times New Roman"/>
                <w:bCs/>
                <w:sz w:val="20"/>
                <w:szCs w:val="20"/>
              </w:rPr>
              <w:t>Local benchmark</w:t>
            </w:r>
          </w:p>
        </w:tc>
        <w:tc>
          <w:tcPr>
            <w:tcW w:w="789" w:type="pct"/>
            <w:tcBorders>
              <w:top w:val="nil"/>
              <w:left w:val="nil"/>
              <w:bottom w:val="single" w:sz="4" w:space="0" w:color="auto"/>
              <w:right w:val="single" w:sz="4" w:space="0" w:color="auto"/>
            </w:tcBorders>
            <w:shd w:val="clear" w:color="auto" w:fill="00B050"/>
          </w:tcPr>
          <w:p w14:paraId="36C36709" w14:textId="77777777" w:rsidR="00553CA2" w:rsidRPr="00AB75BA" w:rsidRDefault="00553CA2" w:rsidP="00D5622C">
            <w:pPr>
              <w:spacing w:after="0" w:line="240" w:lineRule="auto"/>
              <w:rPr>
                <w:rFonts w:ascii="Garamond" w:eastAsia="Times New Roman" w:hAnsi="Garamond" w:cs="Times New Roman"/>
                <w:bCs/>
                <w:sz w:val="20"/>
                <w:szCs w:val="20"/>
              </w:rPr>
            </w:pPr>
          </w:p>
        </w:tc>
      </w:tr>
      <w:tr w:rsidR="00553CA2" w:rsidRPr="00D3224A" w14:paraId="737B841D" w14:textId="01549CD7" w:rsidTr="004129BF">
        <w:trPr>
          <w:trHeight w:val="521"/>
        </w:trPr>
        <w:tc>
          <w:tcPr>
            <w:tcW w:w="744" w:type="pct"/>
            <w:vMerge/>
            <w:tcBorders>
              <w:top w:val="nil"/>
              <w:left w:val="single" w:sz="4" w:space="0" w:color="auto"/>
              <w:bottom w:val="single" w:sz="4" w:space="0" w:color="auto"/>
              <w:right w:val="nil"/>
            </w:tcBorders>
            <w:shd w:val="clear" w:color="auto" w:fill="auto"/>
          </w:tcPr>
          <w:p w14:paraId="0F74F210" w14:textId="77777777" w:rsidR="00553CA2" w:rsidRPr="00D3224A" w:rsidRDefault="00553CA2" w:rsidP="00D5622C">
            <w:pPr>
              <w:spacing w:after="0" w:line="240" w:lineRule="auto"/>
              <w:rPr>
                <w:rFonts w:ascii="Garamond" w:eastAsia="Times New Roman" w:hAnsi="Garamond" w:cs="Times New Roman"/>
                <w:b/>
                <w:bCs/>
                <w:color w:val="000000"/>
                <w:sz w:val="20"/>
                <w:szCs w:val="20"/>
              </w:rPr>
            </w:pPr>
          </w:p>
        </w:tc>
        <w:tc>
          <w:tcPr>
            <w:tcW w:w="878" w:type="pct"/>
            <w:tcBorders>
              <w:top w:val="nil"/>
              <w:left w:val="single" w:sz="4" w:space="0" w:color="auto"/>
              <w:bottom w:val="single" w:sz="4" w:space="0" w:color="auto"/>
              <w:right w:val="single" w:sz="4" w:space="0" w:color="auto"/>
            </w:tcBorders>
            <w:shd w:val="clear" w:color="auto" w:fill="auto"/>
          </w:tcPr>
          <w:p w14:paraId="14771559" w14:textId="1E1F9B67" w:rsidR="00553CA2" w:rsidRPr="00D3224A" w:rsidRDefault="00553CA2" w:rsidP="00D5622C">
            <w:pPr>
              <w:spacing w:after="0" w:line="240" w:lineRule="auto"/>
              <w:rPr>
                <w:rFonts w:ascii="Garamond" w:eastAsia="Times New Roman" w:hAnsi="Garamond" w:cs="Times New Roman"/>
                <w:bCs/>
                <w:color w:val="000000"/>
                <w:sz w:val="20"/>
                <w:szCs w:val="20"/>
              </w:rPr>
            </w:pPr>
            <w:r w:rsidRPr="00D3224A">
              <w:rPr>
                <w:rFonts w:ascii="Garamond" w:eastAsia="Times New Roman" w:hAnsi="Garamond" w:cs="Times New Roman"/>
                <w:bCs/>
                <w:color w:val="000000"/>
                <w:sz w:val="20"/>
                <w:szCs w:val="20"/>
              </w:rPr>
              <w:t>Student faculty interaction benchmark (CCSSE 2014)</w:t>
            </w:r>
          </w:p>
        </w:tc>
        <w:tc>
          <w:tcPr>
            <w:tcW w:w="981" w:type="pct"/>
            <w:tcBorders>
              <w:top w:val="nil"/>
              <w:left w:val="nil"/>
              <w:bottom w:val="single" w:sz="4" w:space="0" w:color="auto"/>
              <w:right w:val="single" w:sz="4" w:space="0" w:color="auto"/>
            </w:tcBorders>
            <w:shd w:val="clear" w:color="auto" w:fill="auto"/>
          </w:tcPr>
          <w:p w14:paraId="377AC063" w14:textId="1AB53119" w:rsidR="00553CA2" w:rsidRPr="00D3224A" w:rsidRDefault="00553CA2" w:rsidP="002043FD">
            <w:pPr>
              <w:spacing w:after="0" w:line="240" w:lineRule="auto"/>
              <w:rPr>
                <w:rFonts w:ascii="Garamond" w:eastAsia="Times New Roman" w:hAnsi="Garamond" w:cs="Times New Roman"/>
                <w:bCs/>
                <w:color w:val="000000"/>
                <w:sz w:val="20"/>
                <w:szCs w:val="20"/>
              </w:rPr>
            </w:pPr>
            <w:r w:rsidRPr="00D3224A">
              <w:rPr>
                <w:rFonts w:ascii="Garamond" w:eastAsia="Times New Roman" w:hAnsi="Garamond" w:cs="Times New Roman"/>
                <w:bCs/>
                <w:color w:val="000000"/>
                <w:sz w:val="20"/>
                <w:szCs w:val="20"/>
              </w:rPr>
              <w:t>CCSSE Benchmark Score 51.0</w:t>
            </w:r>
          </w:p>
        </w:tc>
        <w:tc>
          <w:tcPr>
            <w:tcW w:w="818" w:type="pct"/>
            <w:tcBorders>
              <w:top w:val="nil"/>
              <w:left w:val="nil"/>
              <w:bottom w:val="single" w:sz="4" w:space="0" w:color="auto"/>
              <w:right w:val="single" w:sz="4" w:space="0" w:color="auto"/>
            </w:tcBorders>
            <w:shd w:val="clear" w:color="auto" w:fill="auto"/>
          </w:tcPr>
          <w:p w14:paraId="1F0C05A7" w14:textId="7DFE8EEE" w:rsidR="00553CA2" w:rsidRDefault="00553CA2" w:rsidP="00D5622C">
            <w:pPr>
              <w:spacing w:after="0" w:line="240" w:lineRule="auto"/>
              <w:rPr>
                <w:rFonts w:ascii="Garamond" w:eastAsia="Times New Roman" w:hAnsi="Garamond" w:cs="Times New Roman"/>
                <w:bCs/>
                <w:color w:val="000000" w:themeColor="text1"/>
                <w:sz w:val="20"/>
                <w:szCs w:val="20"/>
              </w:rPr>
            </w:pPr>
            <w:r w:rsidRPr="0018615B">
              <w:rPr>
                <w:rFonts w:ascii="Garamond" w:eastAsia="Times New Roman" w:hAnsi="Garamond" w:cs="Times New Roman"/>
                <w:bCs/>
                <w:color w:val="000000" w:themeColor="text1"/>
                <w:sz w:val="20"/>
                <w:szCs w:val="20"/>
              </w:rPr>
              <w:t>CCSSE Benchmark</w:t>
            </w:r>
            <w:r>
              <w:rPr>
                <w:rFonts w:ascii="Garamond" w:eastAsia="Times New Roman" w:hAnsi="Garamond" w:cs="Times New Roman"/>
                <w:bCs/>
                <w:color w:val="000000" w:themeColor="text1"/>
                <w:sz w:val="20"/>
                <w:szCs w:val="20"/>
              </w:rPr>
              <w:t xml:space="preserve"> </w:t>
            </w:r>
            <w:r w:rsidRPr="0018615B">
              <w:rPr>
                <w:rFonts w:ascii="Garamond" w:eastAsia="Times New Roman" w:hAnsi="Garamond" w:cs="Times New Roman"/>
                <w:bCs/>
                <w:color w:val="000000" w:themeColor="text1"/>
                <w:sz w:val="20"/>
                <w:szCs w:val="20"/>
              </w:rPr>
              <w:t>Score</w:t>
            </w:r>
            <w:r>
              <w:rPr>
                <w:rFonts w:ascii="Garamond" w:eastAsia="Times New Roman" w:hAnsi="Garamond" w:cs="Times New Roman"/>
                <w:bCs/>
                <w:color w:val="000000" w:themeColor="text1"/>
                <w:sz w:val="20"/>
                <w:szCs w:val="20"/>
              </w:rPr>
              <w:t>:</w:t>
            </w:r>
          </w:p>
          <w:p w14:paraId="37429635" w14:textId="309FDE48" w:rsidR="00553CA2" w:rsidRDefault="00553CA2" w:rsidP="00D5622C">
            <w:pPr>
              <w:spacing w:after="0" w:line="240" w:lineRule="auto"/>
              <w:rPr>
                <w:rFonts w:ascii="Garamond" w:eastAsia="Times New Roman" w:hAnsi="Garamond" w:cs="Times New Roman"/>
                <w:bCs/>
                <w:color w:val="000000" w:themeColor="text1"/>
                <w:sz w:val="20"/>
                <w:szCs w:val="20"/>
              </w:rPr>
            </w:pPr>
            <w:r>
              <w:rPr>
                <w:rFonts w:ascii="Garamond" w:eastAsia="Times New Roman" w:hAnsi="Garamond" w:cs="Times New Roman"/>
                <w:bCs/>
                <w:color w:val="000000" w:themeColor="text1"/>
                <w:sz w:val="20"/>
                <w:szCs w:val="20"/>
              </w:rPr>
              <w:t>Green ≥50.0</w:t>
            </w:r>
          </w:p>
          <w:p w14:paraId="195C0B3A" w14:textId="3D120555" w:rsidR="00553CA2" w:rsidRDefault="00553CA2" w:rsidP="00D5622C">
            <w:pPr>
              <w:spacing w:after="0" w:line="240" w:lineRule="auto"/>
              <w:rPr>
                <w:rFonts w:ascii="Garamond" w:eastAsia="Times New Roman" w:hAnsi="Garamond" w:cs="Times New Roman"/>
                <w:bCs/>
                <w:color w:val="000000" w:themeColor="text1"/>
                <w:sz w:val="20"/>
                <w:szCs w:val="20"/>
              </w:rPr>
            </w:pPr>
            <w:r>
              <w:rPr>
                <w:rFonts w:ascii="Garamond" w:eastAsia="Times New Roman" w:hAnsi="Garamond" w:cs="Times New Roman"/>
                <w:bCs/>
                <w:color w:val="000000" w:themeColor="text1"/>
                <w:sz w:val="20"/>
                <w:szCs w:val="20"/>
              </w:rPr>
              <w:t xml:space="preserve">Yellow </w:t>
            </w:r>
            <w:r w:rsidR="00B07B7B">
              <w:rPr>
                <w:rFonts w:ascii="Garamond" w:eastAsia="Times New Roman" w:hAnsi="Garamond" w:cs="Times New Roman"/>
                <w:bCs/>
                <w:color w:val="000000" w:themeColor="text1"/>
                <w:sz w:val="20"/>
                <w:szCs w:val="20"/>
              </w:rPr>
              <w:t>=</w:t>
            </w:r>
            <w:r w:rsidRPr="0082194D">
              <w:rPr>
                <w:rFonts w:ascii="Garamond" w:eastAsia="Times New Roman" w:hAnsi="Garamond" w:cs="Times New Roman"/>
                <w:bCs/>
                <w:color w:val="000000" w:themeColor="text1"/>
                <w:sz w:val="20"/>
                <w:szCs w:val="20"/>
              </w:rPr>
              <w:t>4</w:t>
            </w:r>
            <w:r>
              <w:rPr>
                <w:rFonts w:ascii="Garamond" w:eastAsia="Times New Roman" w:hAnsi="Garamond" w:cs="Times New Roman"/>
                <w:bCs/>
                <w:color w:val="000000" w:themeColor="text1"/>
                <w:sz w:val="20"/>
                <w:szCs w:val="20"/>
              </w:rPr>
              <w:t>7.0-49.9</w:t>
            </w:r>
          </w:p>
          <w:p w14:paraId="7B33739F" w14:textId="1FE5485D" w:rsidR="00553CA2" w:rsidRPr="0018615B" w:rsidRDefault="00553CA2" w:rsidP="00D5622C">
            <w:pPr>
              <w:spacing w:after="0" w:line="240" w:lineRule="auto"/>
              <w:rPr>
                <w:rFonts w:ascii="Garamond" w:eastAsia="Times New Roman" w:hAnsi="Garamond" w:cs="Times New Roman"/>
                <w:bCs/>
                <w:color w:val="000000" w:themeColor="text1"/>
                <w:sz w:val="20"/>
                <w:szCs w:val="20"/>
              </w:rPr>
            </w:pPr>
            <w:r>
              <w:rPr>
                <w:rFonts w:ascii="Garamond" w:eastAsia="Times New Roman" w:hAnsi="Garamond" w:cs="Times New Roman"/>
                <w:bCs/>
                <w:color w:val="000000" w:themeColor="text1"/>
                <w:sz w:val="20"/>
                <w:szCs w:val="20"/>
              </w:rPr>
              <w:t>Red &lt; 47.0</w:t>
            </w:r>
          </w:p>
        </w:tc>
        <w:tc>
          <w:tcPr>
            <w:tcW w:w="790" w:type="pct"/>
            <w:tcBorders>
              <w:top w:val="nil"/>
              <w:left w:val="nil"/>
              <w:bottom w:val="single" w:sz="4" w:space="0" w:color="auto"/>
              <w:right w:val="single" w:sz="4" w:space="0" w:color="auto"/>
            </w:tcBorders>
          </w:tcPr>
          <w:p w14:paraId="7FE79CE9" w14:textId="58DD6D97" w:rsidR="00553CA2" w:rsidRPr="0018615B" w:rsidRDefault="00553CA2" w:rsidP="00D5622C">
            <w:pPr>
              <w:spacing w:after="0" w:line="240" w:lineRule="auto"/>
              <w:rPr>
                <w:rFonts w:ascii="Garamond" w:eastAsia="Times New Roman" w:hAnsi="Garamond" w:cs="Times New Roman"/>
                <w:bCs/>
                <w:color w:val="000000" w:themeColor="text1"/>
                <w:sz w:val="20"/>
                <w:szCs w:val="20"/>
              </w:rPr>
            </w:pPr>
            <w:r w:rsidRPr="0018615B">
              <w:rPr>
                <w:rFonts w:ascii="Garamond" w:eastAsia="Times New Roman" w:hAnsi="Garamond" w:cs="Times New Roman"/>
                <w:bCs/>
                <w:color w:val="000000" w:themeColor="text1"/>
                <w:sz w:val="20"/>
                <w:szCs w:val="20"/>
              </w:rPr>
              <w:t>National benchmark</w:t>
            </w:r>
          </w:p>
        </w:tc>
        <w:tc>
          <w:tcPr>
            <w:tcW w:w="789" w:type="pct"/>
            <w:tcBorders>
              <w:top w:val="nil"/>
              <w:left w:val="nil"/>
              <w:bottom w:val="single" w:sz="4" w:space="0" w:color="auto"/>
              <w:right w:val="single" w:sz="4" w:space="0" w:color="auto"/>
            </w:tcBorders>
            <w:shd w:val="clear" w:color="auto" w:fill="00B050"/>
          </w:tcPr>
          <w:p w14:paraId="26118C0B" w14:textId="77777777" w:rsidR="00553CA2" w:rsidRPr="0018615B" w:rsidRDefault="00553CA2" w:rsidP="00D5622C">
            <w:pPr>
              <w:spacing w:after="0" w:line="240" w:lineRule="auto"/>
              <w:rPr>
                <w:rFonts w:ascii="Garamond" w:eastAsia="Times New Roman" w:hAnsi="Garamond" w:cs="Times New Roman"/>
                <w:bCs/>
                <w:color w:val="000000" w:themeColor="text1"/>
                <w:sz w:val="20"/>
                <w:szCs w:val="20"/>
              </w:rPr>
            </w:pPr>
          </w:p>
        </w:tc>
      </w:tr>
      <w:tr w:rsidR="00553CA2" w:rsidRPr="00D3224A" w14:paraId="0EB20FD7" w14:textId="0A3654B9" w:rsidTr="004129BF">
        <w:trPr>
          <w:trHeight w:val="314"/>
        </w:trPr>
        <w:tc>
          <w:tcPr>
            <w:tcW w:w="744" w:type="pct"/>
            <w:vMerge/>
            <w:tcBorders>
              <w:left w:val="single" w:sz="4" w:space="0" w:color="auto"/>
              <w:bottom w:val="single" w:sz="4" w:space="0" w:color="auto"/>
              <w:right w:val="nil"/>
            </w:tcBorders>
            <w:shd w:val="clear" w:color="auto" w:fill="auto"/>
            <w:vAlign w:val="bottom"/>
            <w:hideMark/>
          </w:tcPr>
          <w:p w14:paraId="791BFCCC" w14:textId="7B277560" w:rsidR="00553CA2" w:rsidRPr="00D3224A" w:rsidRDefault="00553CA2" w:rsidP="007C5C59">
            <w:pPr>
              <w:spacing w:after="0" w:line="240" w:lineRule="auto"/>
              <w:rPr>
                <w:rFonts w:ascii="Garamond" w:eastAsia="Times New Roman" w:hAnsi="Garamond" w:cs="Times New Roman"/>
                <w:b/>
                <w:bCs/>
                <w:color w:val="000000"/>
                <w:sz w:val="20"/>
                <w:szCs w:val="20"/>
              </w:rPr>
            </w:pPr>
          </w:p>
        </w:tc>
        <w:tc>
          <w:tcPr>
            <w:tcW w:w="878" w:type="pct"/>
            <w:tcBorders>
              <w:top w:val="nil"/>
              <w:left w:val="single" w:sz="4" w:space="0" w:color="auto"/>
              <w:bottom w:val="single" w:sz="4" w:space="0" w:color="auto"/>
              <w:right w:val="single" w:sz="4" w:space="0" w:color="auto"/>
            </w:tcBorders>
            <w:shd w:val="clear" w:color="auto" w:fill="auto"/>
            <w:hideMark/>
          </w:tcPr>
          <w:p w14:paraId="41BE1685" w14:textId="77777777" w:rsidR="00553CA2" w:rsidRPr="00D3224A" w:rsidRDefault="00553CA2" w:rsidP="007C5C59">
            <w:pPr>
              <w:spacing w:after="0" w:line="240" w:lineRule="auto"/>
              <w:rPr>
                <w:rFonts w:ascii="Garamond" w:eastAsia="Times New Roman" w:hAnsi="Garamond" w:cs="Times New Roman"/>
                <w:bCs/>
                <w:color w:val="000000"/>
                <w:sz w:val="20"/>
                <w:szCs w:val="20"/>
              </w:rPr>
            </w:pPr>
            <w:r w:rsidRPr="00D3224A">
              <w:rPr>
                <w:rFonts w:ascii="Garamond" w:eastAsia="Times New Roman" w:hAnsi="Garamond" w:cs="Times New Roman"/>
                <w:bCs/>
                <w:color w:val="000000"/>
                <w:sz w:val="20"/>
                <w:szCs w:val="20"/>
              </w:rPr>
              <w:t>Support for learners benchmark (CCSSE 2014)</w:t>
            </w:r>
          </w:p>
        </w:tc>
        <w:tc>
          <w:tcPr>
            <w:tcW w:w="981" w:type="pct"/>
            <w:tcBorders>
              <w:top w:val="nil"/>
              <w:left w:val="nil"/>
              <w:bottom w:val="single" w:sz="4" w:space="0" w:color="auto"/>
              <w:right w:val="single" w:sz="4" w:space="0" w:color="auto"/>
            </w:tcBorders>
            <w:shd w:val="clear" w:color="auto" w:fill="auto"/>
            <w:hideMark/>
          </w:tcPr>
          <w:p w14:paraId="3472C243" w14:textId="39729AA8" w:rsidR="00553CA2" w:rsidRPr="00D3224A" w:rsidRDefault="00553CA2" w:rsidP="007C5C59">
            <w:pPr>
              <w:spacing w:after="0" w:line="240" w:lineRule="auto"/>
              <w:rPr>
                <w:rFonts w:ascii="Garamond" w:eastAsia="Times New Roman" w:hAnsi="Garamond" w:cs="Times New Roman"/>
                <w:bCs/>
                <w:color w:val="000000"/>
                <w:sz w:val="20"/>
                <w:szCs w:val="20"/>
              </w:rPr>
            </w:pPr>
            <w:r w:rsidRPr="00D3224A">
              <w:rPr>
                <w:rFonts w:ascii="Garamond" w:eastAsia="Times New Roman" w:hAnsi="Garamond" w:cs="Times New Roman"/>
                <w:bCs/>
                <w:color w:val="000000"/>
                <w:sz w:val="20"/>
                <w:szCs w:val="20"/>
              </w:rPr>
              <w:t>CCSSE Benchmark Score 68.9</w:t>
            </w:r>
          </w:p>
        </w:tc>
        <w:tc>
          <w:tcPr>
            <w:tcW w:w="818" w:type="pct"/>
            <w:tcBorders>
              <w:top w:val="nil"/>
              <w:left w:val="nil"/>
              <w:bottom w:val="single" w:sz="4" w:space="0" w:color="auto"/>
              <w:right w:val="single" w:sz="4" w:space="0" w:color="auto"/>
            </w:tcBorders>
            <w:shd w:val="clear" w:color="auto" w:fill="auto"/>
            <w:hideMark/>
          </w:tcPr>
          <w:p w14:paraId="4CEF6B10" w14:textId="66BAAD1B" w:rsidR="00553CA2" w:rsidRDefault="00553CA2" w:rsidP="007C5C59">
            <w:pPr>
              <w:spacing w:after="0" w:line="240" w:lineRule="auto"/>
              <w:rPr>
                <w:rFonts w:ascii="Garamond" w:eastAsia="Times New Roman" w:hAnsi="Garamond" w:cs="Times New Roman"/>
                <w:bCs/>
                <w:color w:val="000000"/>
                <w:sz w:val="20"/>
                <w:szCs w:val="20"/>
              </w:rPr>
            </w:pPr>
            <w:r w:rsidRPr="00D3224A">
              <w:rPr>
                <w:rFonts w:ascii="Garamond" w:eastAsia="Times New Roman" w:hAnsi="Garamond" w:cs="Times New Roman"/>
                <w:bCs/>
                <w:color w:val="000000"/>
                <w:sz w:val="20"/>
                <w:szCs w:val="20"/>
              </w:rPr>
              <w:t>CCSSE Benchmark Score</w:t>
            </w:r>
            <w:r>
              <w:rPr>
                <w:rFonts w:ascii="Garamond" w:eastAsia="Times New Roman" w:hAnsi="Garamond" w:cs="Times New Roman"/>
                <w:bCs/>
                <w:color w:val="000000"/>
                <w:sz w:val="20"/>
                <w:szCs w:val="20"/>
              </w:rPr>
              <w:t>:</w:t>
            </w:r>
          </w:p>
          <w:p w14:paraId="7E0665D2" w14:textId="6E49DF1B" w:rsidR="00553CA2" w:rsidRDefault="00553CA2" w:rsidP="00636CE1">
            <w:pPr>
              <w:spacing w:after="0" w:line="240" w:lineRule="auto"/>
              <w:rPr>
                <w:rFonts w:ascii="Garamond" w:eastAsia="Times New Roman" w:hAnsi="Garamond" w:cs="Times New Roman"/>
                <w:bCs/>
                <w:color w:val="000000" w:themeColor="text1"/>
                <w:sz w:val="20"/>
                <w:szCs w:val="20"/>
              </w:rPr>
            </w:pPr>
            <w:r>
              <w:rPr>
                <w:rFonts w:ascii="Garamond" w:eastAsia="Times New Roman" w:hAnsi="Garamond" w:cs="Times New Roman"/>
                <w:bCs/>
                <w:color w:val="000000" w:themeColor="text1"/>
                <w:sz w:val="20"/>
                <w:szCs w:val="20"/>
              </w:rPr>
              <w:t>Green ≥50.0</w:t>
            </w:r>
          </w:p>
          <w:p w14:paraId="139666AE" w14:textId="2C98E3E4" w:rsidR="00553CA2" w:rsidRPr="00544701" w:rsidRDefault="00553CA2" w:rsidP="003057E2">
            <w:pPr>
              <w:spacing w:after="0" w:line="240" w:lineRule="auto"/>
              <w:rPr>
                <w:rFonts w:ascii="Garamond" w:eastAsia="Times New Roman" w:hAnsi="Garamond" w:cs="Times New Roman"/>
                <w:bCs/>
                <w:color w:val="000000" w:themeColor="text1"/>
                <w:sz w:val="20"/>
                <w:szCs w:val="20"/>
              </w:rPr>
            </w:pPr>
            <w:r>
              <w:rPr>
                <w:rFonts w:ascii="Garamond" w:eastAsia="Times New Roman" w:hAnsi="Garamond" w:cs="Times New Roman"/>
                <w:bCs/>
                <w:color w:val="000000" w:themeColor="text1"/>
                <w:sz w:val="20"/>
                <w:szCs w:val="20"/>
              </w:rPr>
              <w:t>Yellow</w:t>
            </w:r>
            <w:r w:rsidR="00B07B7B">
              <w:rPr>
                <w:rFonts w:ascii="Garamond" w:eastAsia="Times New Roman" w:hAnsi="Garamond" w:cs="Times New Roman"/>
                <w:bCs/>
                <w:color w:val="000000" w:themeColor="text1"/>
                <w:sz w:val="20"/>
                <w:szCs w:val="20"/>
              </w:rPr>
              <w:t xml:space="preserve"> ≥</w:t>
            </w:r>
            <w:r>
              <w:rPr>
                <w:rFonts w:ascii="Garamond" w:eastAsia="Times New Roman" w:hAnsi="Garamond" w:cs="Times New Roman"/>
                <w:bCs/>
                <w:color w:val="000000" w:themeColor="text1"/>
                <w:sz w:val="20"/>
                <w:szCs w:val="20"/>
              </w:rPr>
              <w:t>47.0-49.9</w:t>
            </w:r>
          </w:p>
          <w:p w14:paraId="319344EE" w14:textId="66B02C93" w:rsidR="00553CA2" w:rsidRPr="00D3224A" w:rsidRDefault="00553CA2" w:rsidP="003057E2">
            <w:pPr>
              <w:spacing w:after="0" w:line="240" w:lineRule="auto"/>
              <w:rPr>
                <w:rFonts w:ascii="Garamond" w:eastAsia="Times New Roman" w:hAnsi="Garamond" w:cs="Times New Roman"/>
                <w:bCs/>
                <w:color w:val="000000"/>
                <w:sz w:val="20"/>
                <w:szCs w:val="20"/>
              </w:rPr>
            </w:pPr>
            <w:r w:rsidRPr="003057E2">
              <w:rPr>
                <w:rFonts w:ascii="Garamond" w:eastAsia="Times New Roman" w:hAnsi="Garamond" w:cs="Times New Roman"/>
                <w:bCs/>
                <w:color w:val="000000" w:themeColor="text1"/>
                <w:sz w:val="20"/>
                <w:szCs w:val="20"/>
              </w:rPr>
              <w:t>Red</w:t>
            </w:r>
            <w:r>
              <w:rPr>
                <w:rFonts w:ascii="Garamond" w:eastAsia="Times New Roman" w:hAnsi="Garamond" w:cs="Times New Roman"/>
                <w:bCs/>
                <w:color w:val="000000" w:themeColor="text1"/>
                <w:sz w:val="20"/>
                <w:szCs w:val="20"/>
              </w:rPr>
              <w:t xml:space="preserve"> </w:t>
            </w:r>
            <w:r w:rsidRPr="003057E2">
              <w:rPr>
                <w:rFonts w:ascii="Garamond" w:eastAsia="Times New Roman" w:hAnsi="Garamond" w:cs="Times New Roman"/>
                <w:bCs/>
                <w:color w:val="000000" w:themeColor="text1"/>
                <w:sz w:val="20"/>
                <w:szCs w:val="20"/>
              </w:rPr>
              <w:t>&lt;</w:t>
            </w:r>
            <w:r>
              <w:rPr>
                <w:rFonts w:ascii="Garamond" w:eastAsia="Times New Roman" w:hAnsi="Garamond" w:cs="Times New Roman"/>
                <w:bCs/>
                <w:color w:val="000000" w:themeColor="text1"/>
                <w:sz w:val="20"/>
                <w:szCs w:val="20"/>
              </w:rPr>
              <w:t>47.0</w:t>
            </w:r>
          </w:p>
        </w:tc>
        <w:tc>
          <w:tcPr>
            <w:tcW w:w="790" w:type="pct"/>
            <w:tcBorders>
              <w:top w:val="nil"/>
              <w:left w:val="nil"/>
              <w:bottom w:val="single" w:sz="4" w:space="0" w:color="auto"/>
              <w:right w:val="single" w:sz="4" w:space="0" w:color="auto"/>
            </w:tcBorders>
          </w:tcPr>
          <w:p w14:paraId="79C827F6" w14:textId="77777777" w:rsidR="00553CA2" w:rsidRPr="00CB20F9" w:rsidRDefault="00553CA2" w:rsidP="007C5C59">
            <w:pPr>
              <w:spacing w:after="0" w:line="240" w:lineRule="auto"/>
              <w:rPr>
                <w:rFonts w:ascii="Garamond" w:eastAsia="Times New Roman" w:hAnsi="Garamond" w:cs="Times New Roman"/>
                <w:bCs/>
                <w:color w:val="000000" w:themeColor="text1"/>
                <w:sz w:val="20"/>
                <w:szCs w:val="20"/>
              </w:rPr>
            </w:pPr>
            <w:r w:rsidRPr="00CB20F9">
              <w:rPr>
                <w:rFonts w:ascii="Garamond" w:eastAsia="Times New Roman" w:hAnsi="Garamond" w:cs="Times New Roman"/>
                <w:bCs/>
                <w:color w:val="000000" w:themeColor="text1"/>
                <w:sz w:val="20"/>
                <w:szCs w:val="20"/>
              </w:rPr>
              <w:t>National benchmark</w:t>
            </w:r>
          </w:p>
        </w:tc>
        <w:tc>
          <w:tcPr>
            <w:tcW w:w="789" w:type="pct"/>
            <w:tcBorders>
              <w:top w:val="nil"/>
              <w:left w:val="nil"/>
              <w:bottom w:val="single" w:sz="4" w:space="0" w:color="auto"/>
              <w:right w:val="single" w:sz="4" w:space="0" w:color="auto"/>
            </w:tcBorders>
            <w:shd w:val="clear" w:color="auto" w:fill="00B050"/>
          </w:tcPr>
          <w:p w14:paraId="615CEA33" w14:textId="77777777" w:rsidR="00553CA2" w:rsidRPr="00CB20F9" w:rsidRDefault="00553CA2" w:rsidP="007C5C59">
            <w:pPr>
              <w:spacing w:after="0" w:line="240" w:lineRule="auto"/>
              <w:rPr>
                <w:rFonts w:ascii="Garamond" w:eastAsia="Times New Roman" w:hAnsi="Garamond" w:cs="Times New Roman"/>
                <w:bCs/>
                <w:color w:val="000000" w:themeColor="text1"/>
                <w:sz w:val="20"/>
                <w:szCs w:val="20"/>
              </w:rPr>
            </w:pPr>
          </w:p>
        </w:tc>
      </w:tr>
      <w:tr w:rsidR="00553CA2" w:rsidRPr="00D3224A" w14:paraId="3B780F9F" w14:textId="0FF91D8C" w:rsidTr="004129BF">
        <w:trPr>
          <w:trHeight w:val="602"/>
        </w:trPr>
        <w:tc>
          <w:tcPr>
            <w:tcW w:w="744" w:type="pct"/>
            <w:vMerge/>
            <w:tcBorders>
              <w:left w:val="single" w:sz="4" w:space="0" w:color="auto"/>
              <w:bottom w:val="single" w:sz="4" w:space="0" w:color="auto"/>
              <w:right w:val="nil"/>
            </w:tcBorders>
            <w:shd w:val="clear" w:color="auto" w:fill="auto"/>
            <w:vAlign w:val="bottom"/>
            <w:hideMark/>
          </w:tcPr>
          <w:p w14:paraId="1B2074ED" w14:textId="273167BF" w:rsidR="00553CA2" w:rsidRPr="00D3224A" w:rsidRDefault="00553CA2" w:rsidP="007C5C59">
            <w:pPr>
              <w:spacing w:after="0" w:line="240" w:lineRule="auto"/>
              <w:rPr>
                <w:rFonts w:ascii="Garamond" w:eastAsia="Times New Roman" w:hAnsi="Garamond" w:cs="Times New Roman"/>
                <w:b/>
                <w:bCs/>
                <w:color w:val="000000"/>
                <w:sz w:val="20"/>
                <w:szCs w:val="20"/>
              </w:rPr>
            </w:pPr>
          </w:p>
        </w:tc>
        <w:tc>
          <w:tcPr>
            <w:tcW w:w="878" w:type="pct"/>
            <w:tcBorders>
              <w:top w:val="nil"/>
              <w:left w:val="single" w:sz="4" w:space="0" w:color="auto"/>
              <w:bottom w:val="single" w:sz="4" w:space="0" w:color="auto"/>
              <w:right w:val="single" w:sz="4" w:space="0" w:color="auto"/>
            </w:tcBorders>
            <w:shd w:val="clear" w:color="auto" w:fill="auto"/>
            <w:hideMark/>
          </w:tcPr>
          <w:p w14:paraId="47326AA2" w14:textId="77777777" w:rsidR="00553CA2" w:rsidRPr="00D3224A" w:rsidRDefault="00553CA2" w:rsidP="007C5C59">
            <w:pPr>
              <w:spacing w:after="0" w:line="240" w:lineRule="auto"/>
              <w:rPr>
                <w:rFonts w:ascii="Garamond" w:eastAsia="Times New Roman" w:hAnsi="Garamond" w:cs="Times New Roman"/>
                <w:bCs/>
                <w:color w:val="000000"/>
                <w:sz w:val="20"/>
                <w:szCs w:val="20"/>
              </w:rPr>
            </w:pPr>
            <w:r w:rsidRPr="00D3224A">
              <w:rPr>
                <w:rFonts w:ascii="Garamond" w:eastAsia="Times New Roman" w:hAnsi="Garamond" w:cs="Times New Roman"/>
                <w:bCs/>
                <w:color w:val="000000"/>
                <w:sz w:val="20"/>
                <w:szCs w:val="20"/>
              </w:rPr>
              <w:t>Percent credit hours taught by full time faculty (NCCBP Fall 2013)</w:t>
            </w:r>
          </w:p>
        </w:tc>
        <w:tc>
          <w:tcPr>
            <w:tcW w:w="981" w:type="pct"/>
            <w:tcBorders>
              <w:top w:val="nil"/>
              <w:left w:val="nil"/>
              <w:bottom w:val="single" w:sz="4" w:space="0" w:color="auto"/>
              <w:right w:val="single" w:sz="4" w:space="0" w:color="auto"/>
            </w:tcBorders>
            <w:shd w:val="clear" w:color="auto" w:fill="auto"/>
            <w:hideMark/>
          </w:tcPr>
          <w:p w14:paraId="3DE7ADA8" w14:textId="77777777" w:rsidR="00553CA2" w:rsidRDefault="00553CA2" w:rsidP="007C5C59">
            <w:pPr>
              <w:spacing w:after="0" w:line="240" w:lineRule="auto"/>
              <w:rPr>
                <w:rFonts w:ascii="Garamond" w:eastAsia="Times New Roman" w:hAnsi="Garamond" w:cs="Times New Roman"/>
                <w:bCs/>
                <w:color w:val="000000"/>
                <w:sz w:val="20"/>
                <w:szCs w:val="20"/>
              </w:rPr>
            </w:pPr>
            <w:r w:rsidRPr="00D3224A">
              <w:rPr>
                <w:rFonts w:ascii="Garamond" w:eastAsia="Times New Roman" w:hAnsi="Garamond" w:cs="Times New Roman"/>
                <w:bCs/>
                <w:color w:val="000000"/>
                <w:sz w:val="20"/>
                <w:szCs w:val="20"/>
              </w:rPr>
              <w:t>84.10% of credits taught by full time faculty</w:t>
            </w:r>
          </w:p>
          <w:p w14:paraId="7431AE14" w14:textId="38453C3E" w:rsidR="00553CA2" w:rsidRPr="00D3224A" w:rsidRDefault="00553CA2" w:rsidP="007C5C59">
            <w:pPr>
              <w:spacing w:after="0" w:line="240" w:lineRule="auto"/>
              <w:rPr>
                <w:rFonts w:ascii="Garamond" w:eastAsia="Times New Roman" w:hAnsi="Garamond" w:cs="Times New Roman"/>
                <w:bCs/>
                <w:color w:val="000000"/>
                <w:sz w:val="20"/>
                <w:szCs w:val="20"/>
              </w:rPr>
            </w:pPr>
            <w:r w:rsidRPr="00D3224A">
              <w:rPr>
                <w:rFonts w:ascii="Garamond" w:eastAsia="Times New Roman" w:hAnsi="Garamond" w:cs="Times New Roman"/>
                <w:bCs/>
                <w:color w:val="000000"/>
                <w:sz w:val="20"/>
                <w:szCs w:val="20"/>
              </w:rPr>
              <w:t xml:space="preserve">NCCBP </w:t>
            </w:r>
            <w:r>
              <w:rPr>
                <w:rFonts w:ascii="Garamond" w:eastAsia="Times New Roman" w:hAnsi="Garamond" w:cs="Times New Roman"/>
                <w:bCs/>
                <w:color w:val="000000"/>
                <w:sz w:val="20"/>
                <w:szCs w:val="20"/>
              </w:rPr>
              <w:t>%</w:t>
            </w:r>
            <w:r w:rsidRPr="00D3224A">
              <w:rPr>
                <w:rFonts w:ascii="Garamond" w:eastAsia="Times New Roman" w:hAnsi="Garamond" w:cs="Times New Roman"/>
                <w:bCs/>
                <w:color w:val="000000"/>
                <w:sz w:val="20"/>
                <w:szCs w:val="20"/>
              </w:rPr>
              <w:t>Rank 98</w:t>
            </w:r>
            <w:r>
              <w:rPr>
                <w:rFonts w:ascii="Garamond" w:eastAsia="Times New Roman" w:hAnsi="Garamond" w:cs="Times New Roman"/>
                <w:bCs/>
                <w:color w:val="000000"/>
                <w:sz w:val="20"/>
                <w:szCs w:val="20"/>
              </w:rPr>
              <w:t>%</w:t>
            </w:r>
          </w:p>
        </w:tc>
        <w:tc>
          <w:tcPr>
            <w:tcW w:w="818" w:type="pct"/>
            <w:tcBorders>
              <w:top w:val="nil"/>
              <w:left w:val="nil"/>
              <w:bottom w:val="single" w:sz="4" w:space="0" w:color="auto"/>
              <w:right w:val="single" w:sz="4" w:space="0" w:color="auto"/>
            </w:tcBorders>
            <w:shd w:val="clear" w:color="auto" w:fill="auto"/>
            <w:hideMark/>
          </w:tcPr>
          <w:p w14:paraId="19BDCC4D" w14:textId="4DA5592B" w:rsidR="00553CA2" w:rsidRDefault="00553CA2" w:rsidP="007C5C59">
            <w:pPr>
              <w:spacing w:after="0" w:line="240" w:lineRule="auto"/>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Percent of c</w:t>
            </w:r>
            <w:r w:rsidRPr="00D3224A">
              <w:rPr>
                <w:rFonts w:ascii="Garamond" w:eastAsia="Times New Roman" w:hAnsi="Garamond" w:cs="Times New Roman"/>
                <w:bCs/>
                <w:color w:val="000000"/>
                <w:sz w:val="20"/>
                <w:szCs w:val="20"/>
              </w:rPr>
              <w:t>redits taught by full time faculty</w:t>
            </w:r>
            <w:r>
              <w:rPr>
                <w:rFonts w:ascii="Garamond" w:eastAsia="Times New Roman" w:hAnsi="Garamond" w:cs="Times New Roman"/>
                <w:bCs/>
                <w:color w:val="000000"/>
                <w:sz w:val="20"/>
                <w:szCs w:val="20"/>
              </w:rPr>
              <w:t>:</w:t>
            </w:r>
          </w:p>
          <w:p w14:paraId="200B93CE" w14:textId="32AE4C3F" w:rsidR="00553CA2" w:rsidRDefault="00B07B7B" w:rsidP="007C5C59">
            <w:pPr>
              <w:spacing w:after="0" w:line="240" w:lineRule="auto"/>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Green ≥</w:t>
            </w:r>
            <w:r w:rsidR="00553CA2" w:rsidRPr="00D3224A">
              <w:rPr>
                <w:rFonts w:ascii="Garamond" w:eastAsia="Times New Roman" w:hAnsi="Garamond" w:cs="Times New Roman"/>
                <w:bCs/>
                <w:color w:val="000000"/>
                <w:sz w:val="20"/>
                <w:szCs w:val="20"/>
              </w:rPr>
              <w:t>7</w:t>
            </w:r>
            <w:r w:rsidR="00553CA2">
              <w:rPr>
                <w:rFonts w:ascii="Garamond" w:eastAsia="Times New Roman" w:hAnsi="Garamond" w:cs="Times New Roman"/>
                <w:bCs/>
                <w:color w:val="000000"/>
                <w:sz w:val="20"/>
                <w:szCs w:val="20"/>
              </w:rPr>
              <w:t>5</w:t>
            </w:r>
            <w:r w:rsidR="00553CA2" w:rsidRPr="00D3224A">
              <w:rPr>
                <w:rFonts w:ascii="Garamond" w:eastAsia="Times New Roman" w:hAnsi="Garamond" w:cs="Times New Roman"/>
                <w:bCs/>
                <w:color w:val="000000"/>
                <w:sz w:val="20"/>
                <w:szCs w:val="20"/>
              </w:rPr>
              <w:t xml:space="preserve">% </w:t>
            </w:r>
          </w:p>
          <w:p w14:paraId="08CACD3C" w14:textId="776366B4" w:rsidR="00553CA2" w:rsidRDefault="00553CA2" w:rsidP="007C5C59">
            <w:pPr>
              <w:spacing w:after="0" w:line="240" w:lineRule="auto"/>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 xml:space="preserve">Yellow </w:t>
            </w:r>
            <w:r w:rsidR="00B07B7B">
              <w:rPr>
                <w:rFonts w:ascii="Garamond" w:eastAsia="Times New Roman" w:hAnsi="Garamond" w:cs="Times New Roman"/>
                <w:bCs/>
                <w:color w:val="000000"/>
                <w:sz w:val="20"/>
                <w:szCs w:val="20"/>
              </w:rPr>
              <w:t>=</w:t>
            </w:r>
            <w:r>
              <w:rPr>
                <w:rFonts w:ascii="Garamond" w:eastAsia="Times New Roman" w:hAnsi="Garamond" w:cs="Times New Roman"/>
                <w:bCs/>
                <w:color w:val="000000"/>
                <w:sz w:val="20"/>
                <w:szCs w:val="20"/>
              </w:rPr>
              <w:t>64-74.9%</w:t>
            </w:r>
          </w:p>
          <w:p w14:paraId="30F01E51" w14:textId="297706BA" w:rsidR="00553CA2" w:rsidRPr="00D3224A" w:rsidRDefault="00553CA2" w:rsidP="007C5C59">
            <w:pPr>
              <w:spacing w:after="0" w:line="240" w:lineRule="auto"/>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Red &lt;64%</w:t>
            </w:r>
          </w:p>
        </w:tc>
        <w:tc>
          <w:tcPr>
            <w:tcW w:w="790" w:type="pct"/>
            <w:tcBorders>
              <w:top w:val="nil"/>
              <w:left w:val="nil"/>
              <w:bottom w:val="single" w:sz="4" w:space="0" w:color="auto"/>
              <w:right w:val="single" w:sz="4" w:space="0" w:color="auto"/>
            </w:tcBorders>
          </w:tcPr>
          <w:p w14:paraId="06C7D662" w14:textId="77777777" w:rsidR="00553CA2" w:rsidRPr="00275E9A" w:rsidRDefault="00553CA2" w:rsidP="007C5C59">
            <w:pPr>
              <w:spacing w:after="0" w:line="240" w:lineRule="auto"/>
              <w:rPr>
                <w:rFonts w:ascii="Garamond" w:eastAsia="Times New Roman" w:hAnsi="Garamond" w:cs="Times New Roman"/>
                <w:bCs/>
                <w:color w:val="FF0000"/>
                <w:sz w:val="20"/>
                <w:szCs w:val="20"/>
              </w:rPr>
            </w:pPr>
            <w:r w:rsidRPr="00544701">
              <w:rPr>
                <w:rFonts w:ascii="Garamond" w:eastAsia="Times New Roman" w:hAnsi="Garamond" w:cs="Times New Roman"/>
                <w:bCs/>
                <w:color w:val="000000" w:themeColor="text1"/>
                <w:sz w:val="20"/>
                <w:szCs w:val="20"/>
              </w:rPr>
              <w:t>National benchmark</w:t>
            </w:r>
          </w:p>
        </w:tc>
        <w:tc>
          <w:tcPr>
            <w:tcW w:w="789" w:type="pct"/>
            <w:tcBorders>
              <w:top w:val="nil"/>
              <w:left w:val="nil"/>
              <w:bottom w:val="single" w:sz="4" w:space="0" w:color="auto"/>
              <w:right w:val="single" w:sz="4" w:space="0" w:color="auto"/>
            </w:tcBorders>
            <w:shd w:val="clear" w:color="auto" w:fill="00B050"/>
          </w:tcPr>
          <w:p w14:paraId="62EF3C34" w14:textId="77777777" w:rsidR="00553CA2" w:rsidRPr="00544701" w:rsidRDefault="00553CA2" w:rsidP="007C5C59">
            <w:pPr>
              <w:spacing w:after="0" w:line="240" w:lineRule="auto"/>
              <w:rPr>
                <w:rFonts w:ascii="Garamond" w:eastAsia="Times New Roman" w:hAnsi="Garamond" w:cs="Times New Roman"/>
                <w:bCs/>
                <w:color w:val="000000" w:themeColor="text1"/>
                <w:sz w:val="20"/>
                <w:szCs w:val="20"/>
              </w:rPr>
            </w:pPr>
          </w:p>
        </w:tc>
      </w:tr>
      <w:tr w:rsidR="00553CA2" w:rsidRPr="00D3224A" w14:paraId="1D36091A" w14:textId="0EE58783" w:rsidTr="004129BF">
        <w:trPr>
          <w:trHeight w:val="539"/>
        </w:trPr>
        <w:tc>
          <w:tcPr>
            <w:tcW w:w="744" w:type="pct"/>
            <w:vMerge/>
            <w:tcBorders>
              <w:left w:val="single" w:sz="4" w:space="0" w:color="auto"/>
              <w:bottom w:val="single" w:sz="4" w:space="0" w:color="auto"/>
              <w:right w:val="nil"/>
            </w:tcBorders>
            <w:shd w:val="clear" w:color="auto" w:fill="auto"/>
            <w:vAlign w:val="bottom"/>
            <w:hideMark/>
          </w:tcPr>
          <w:p w14:paraId="07FC0C13" w14:textId="673029F9" w:rsidR="00553CA2" w:rsidRPr="00D3224A" w:rsidRDefault="00553CA2" w:rsidP="007C5C59">
            <w:pPr>
              <w:spacing w:after="0" w:line="240" w:lineRule="auto"/>
              <w:rPr>
                <w:rFonts w:ascii="Garamond" w:eastAsia="Times New Roman" w:hAnsi="Garamond" w:cs="Times New Roman"/>
                <w:b/>
                <w:bCs/>
                <w:color w:val="000000"/>
                <w:sz w:val="20"/>
                <w:szCs w:val="20"/>
              </w:rPr>
            </w:pPr>
          </w:p>
        </w:tc>
        <w:tc>
          <w:tcPr>
            <w:tcW w:w="878" w:type="pct"/>
            <w:tcBorders>
              <w:top w:val="nil"/>
              <w:left w:val="single" w:sz="4" w:space="0" w:color="auto"/>
              <w:bottom w:val="single" w:sz="4" w:space="0" w:color="auto"/>
              <w:right w:val="single" w:sz="4" w:space="0" w:color="auto"/>
            </w:tcBorders>
            <w:shd w:val="clear" w:color="auto" w:fill="auto"/>
            <w:hideMark/>
          </w:tcPr>
          <w:p w14:paraId="6B67E90D" w14:textId="77777777" w:rsidR="00553CA2" w:rsidRPr="00D3224A" w:rsidRDefault="00553CA2" w:rsidP="007C5C59">
            <w:pPr>
              <w:spacing w:after="0" w:line="240" w:lineRule="auto"/>
              <w:rPr>
                <w:rFonts w:ascii="Garamond" w:eastAsia="Times New Roman" w:hAnsi="Garamond" w:cs="Times New Roman"/>
                <w:bCs/>
                <w:color w:val="000000"/>
                <w:sz w:val="20"/>
                <w:szCs w:val="20"/>
              </w:rPr>
            </w:pPr>
            <w:r w:rsidRPr="00D3224A">
              <w:rPr>
                <w:rFonts w:ascii="Garamond" w:eastAsia="Times New Roman" w:hAnsi="Garamond" w:cs="Times New Roman"/>
                <w:bCs/>
                <w:color w:val="000000"/>
                <w:sz w:val="20"/>
                <w:szCs w:val="20"/>
              </w:rPr>
              <w:t>Average credit section size (NCCBP Fall 2013)</w:t>
            </w:r>
          </w:p>
        </w:tc>
        <w:tc>
          <w:tcPr>
            <w:tcW w:w="981" w:type="pct"/>
            <w:tcBorders>
              <w:top w:val="nil"/>
              <w:left w:val="nil"/>
              <w:bottom w:val="single" w:sz="4" w:space="0" w:color="auto"/>
              <w:right w:val="single" w:sz="4" w:space="0" w:color="auto"/>
            </w:tcBorders>
            <w:shd w:val="clear" w:color="auto" w:fill="auto"/>
            <w:hideMark/>
          </w:tcPr>
          <w:p w14:paraId="2497329F" w14:textId="77777777" w:rsidR="00553CA2" w:rsidRDefault="00553CA2" w:rsidP="007C5C59">
            <w:pPr>
              <w:spacing w:after="0" w:line="240" w:lineRule="auto"/>
              <w:rPr>
                <w:rFonts w:ascii="Garamond" w:eastAsia="Times New Roman" w:hAnsi="Garamond" w:cs="Times New Roman"/>
                <w:bCs/>
                <w:color w:val="000000"/>
                <w:sz w:val="20"/>
                <w:szCs w:val="20"/>
              </w:rPr>
            </w:pPr>
            <w:r w:rsidRPr="00D3224A">
              <w:rPr>
                <w:rFonts w:ascii="Garamond" w:eastAsia="Times New Roman" w:hAnsi="Garamond" w:cs="Times New Roman"/>
                <w:bCs/>
                <w:color w:val="000000"/>
                <w:sz w:val="20"/>
                <w:szCs w:val="20"/>
              </w:rPr>
              <w:t xml:space="preserve">19.39 students per credit section size </w:t>
            </w:r>
          </w:p>
          <w:p w14:paraId="0C6481C0" w14:textId="1836DDBA" w:rsidR="00553CA2" w:rsidRPr="00D3224A" w:rsidRDefault="00553CA2" w:rsidP="007C5C59">
            <w:pPr>
              <w:spacing w:after="0" w:line="240" w:lineRule="auto"/>
              <w:rPr>
                <w:rFonts w:ascii="Garamond" w:eastAsia="Times New Roman" w:hAnsi="Garamond" w:cs="Times New Roman"/>
                <w:bCs/>
                <w:color w:val="000000"/>
                <w:sz w:val="20"/>
                <w:szCs w:val="20"/>
              </w:rPr>
            </w:pPr>
            <w:r w:rsidRPr="00D3224A">
              <w:rPr>
                <w:rFonts w:ascii="Garamond" w:eastAsia="Times New Roman" w:hAnsi="Garamond" w:cs="Times New Roman"/>
                <w:bCs/>
                <w:color w:val="000000"/>
                <w:sz w:val="20"/>
                <w:szCs w:val="20"/>
              </w:rPr>
              <w:t>NCCBP</w:t>
            </w:r>
            <w:r>
              <w:rPr>
                <w:rFonts w:ascii="Garamond" w:eastAsia="Times New Roman" w:hAnsi="Garamond" w:cs="Times New Roman"/>
                <w:bCs/>
                <w:color w:val="000000"/>
                <w:sz w:val="20"/>
                <w:szCs w:val="20"/>
              </w:rPr>
              <w:t xml:space="preserve"> %</w:t>
            </w:r>
            <w:r w:rsidRPr="00D3224A">
              <w:rPr>
                <w:rFonts w:ascii="Garamond" w:eastAsia="Times New Roman" w:hAnsi="Garamond" w:cs="Times New Roman"/>
                <w:bCs/>
                <w:color w:val="000000"/>
                <w:sz w:val="20"/>
                <w:szCs w:val="20"/>
              </w:rPr>
              <w:t>Rank 66</w:t>
            </w:r>
            <w:r>
              <w:rPr>
                <w:rFonts w:ascii="Garamond" w:eastAsia="Times New Roman" w:hAnsi="Garamond" w:cs="Times New Roman"/>
                <w:bCs/>
                <w:color w:val="000000"/>
                <w:sz w:val="20"/>
                <w:szCs w:val="20"/>
              </w:rPr>
              <w:t>% percentile</w:t>
            </w:r>
          </w:p>
        </w:tc>
        <w:tc>
          <w:tcPr>
            <w:tcW w:w="818" w:type="pct"/>
            <w:tcBorders>
              <w:top w:val="nil"/>
              <w:left w:val="nil"/>
              <w:bottom w:val="single" w:sz="4" w:space="0" w:color="auto"/>
              <w:right w:val="single" w:sz="4" w:space="0" w:color="auto"/>
            </w:tcBorders>
            <w:shd w:val="clear" w:color="auto" w:fill="auto"/>
            <w:hideMark/>
          </w:tcPr>
          <w:p w14:paraId="7562F5F2" w14:textId="77777777" w:rsidR="00553CA2" w:rsidRDefault="00553CA2" w:rsidP="00B828A0">
            <w:pPr>
              <w:spacing w:after="0" w:line="240" w:lineRule="auto"/>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Students per credit section size</w:t>
            </w:r>
            <w:r w:rsidRPr="00D3224A">
              <w:rPr>
                <w:rFonts w:ascii="Garamond" w:eastAsia="Times New Roman" w:hAnsi="Garamond" w:cs="Times New Roman"/>
                <w:bCs/>
                <w:color w:val="000000"/>
                <w:sz w:val="20"/>
                <w:szCs w:val="20"/>
              </w:rPr>
              <w:t xml:space="preserve"> </w:t>
            </w:r>
          </w:p>
          <w:p w14:paraId="5741689B" w14:textId="6EAC054F" w:rsidR="00553CA2" w:rsidRDefault="00553CA2" w:rsidP="00B828A0">
            <w:pPr>
              <w:spacing w:after="0" w:line="240" w:lineRule="auto"/>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 xml:space="preserve">Green </w:t>
            </w:r>
            <w:r w:rsidR="00B07B7B">
              <w:rPr>
                <w:rFonts w:ascii="Garamond" w:eastAsia="Times New Roman" w:hAnsi="Garamond" w:cs="Times New Roman"/>
                <w:bCs/>
                <w:color w:val="000000"/>
                <w:sz w:val="20"/>
                <w:szCs w:val="20"/>
              </w:rPr>
              <w:t>≤</w:t>
            </w:r>
            <w:r w:rsidR="00633B0F">
              <w:rPr>
                <w:rFonts w:ascii="Garamond" w:eastAsia="Times New Roman" w:hAnsi="Garamond" w:cs="Times New Roman"/>
                <w:bCs/>
                <w:color w:val="000000"/>
                <w:sz w:val="20"/>
                <w:szCs w:val="20"/>
              </w:rPr>
              <w:t>25</w:t>
            </w:r>
            <w:r w:rsidRPr="00D3224A">
              <w:rPr>
                <w:rFonts w:ascii="Garamond" w:eastAsia="Times New Roman" w:hAnsi="Garamond" w:cs="Times New Roman"/>
                <w:bCs/>
                <w:color w:val="000000"/>
                <w:sz w:val="20"/>
                <w:szCs w:val="20"/>
              </w:rPr>
              <w:t xml:space="preserve">.0 </w:t>
            </w:r>
          </w:p>
          <w:p w14:paraId="5C238811" w14:textId="3B68013A" w:rsidR="00553CA2" w:rsidRDefault="00553CA2" w:rsidP="00B828A0">
            <w:pPr>
              <w:spacing w:after="0" w:line="240" w:lineRule="auto"/>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Yellow</w:t>
            </w:r>
            <w:r w:rsidR="006C6A74">
              <w:rPr>
                <w:rFonts w:ascii="Garamond" w:eastAsia="Times New Roman" w:hAnsi="Garamond" w:cs="Times New Roman"/>
                <w:bCs/>
                <w:color w:val="000000"/>
                <w:sz w:val="20"/>
                <w:szCs w:val="20"/>
              </w:rPr>
              <w:t xml:space="preserve"> </w:t>
            </w:r>
            <w:r w:rsidR="00B07B7B">
              <w:rPr>
                <w:rFonts w:ascii="Garamond" w:eastAsia="Times New Roman" w:hAnsi="Garamond" w:cs="Times New Roman"/>
                <w:bCs/>
                <w:color w:val="000000"/>
                <w:sz w:val="20"/>
                <w:szCs w:val="20"/>
              </w:rPr>
              <w:t>=</w:t>
            </w:r>
            <w:r w:rsidR="006C6A74">
              <w:rPr>
                <w:rFonts w:ascii="Garamond" w:eastAsia="Times New Roman" w:hAnsi="Garamond" w:cs="Times New Roman"/>
                <w:bCs/>
                <w:color w:val="000000"/>
                <w:sz w:val="20"/>
                <w:szCs w:val="20"/>
              </w:rPr>
              <w:t>25.1-30</w:t>
            </w:r>
          </w:p>
          <w:p w14:paraId="06D25721" w14:textId="41E8442E" w:rsidR="00553CA2" w:rsidRPr="00D3224A" w:rsidRDefault="00553CA2" w:rsidP="00B828A0">
            <w:pPr>
              <w:spacing w:after="0" w:line="240" w:lineRule="auto"/>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Red</w:t>
            </w:r>
            <w:r w:rsidR="00B07B7B">
              <w:rPr>
                <w:rFonts w:ascii="Garamond" w:eastAsia="Times New Roman" w:hAnsi="Garamond" w:cs="Times New Roman"/>
                <w:bCs/>
                <w:color w:val="000000"/>
                <w:sz w:val="20"/>
                <w:szCs w:val="20"/>
              </w:rPr>
              <w:t xml:space="preserve"> &gt;</w:t>
            </w:r>
            <w:r w:rsidR="006C6A74">
              <w:rPr>
                <w:rFonts w:ascii="Garamond" w:eastAsia="Times New Roman" w:hAnsi="Garamond" w:cs="Times New Roman"/>
                <w:bCs/>
                <w:color w:val="000000"/>
                <w:sz w:val="20"/>
                <w:szCs w:val="20"/>
              </w:rPr>
              <w:t>30</w:t>
            </w:r>
          </w:p>
        </w:tc>
        <w:tc>
          <w:tcPr>
            <w:tcW w:w="790" w:type="pct"/>
            <w:tcBorders>
              <w:top w:val="nil"/>
              <w:left w:val="nil"/>
              <w:bottom w:val="single" w:sz="4" w:space="0" w:color="auto"/>
              <w:right w:val="single" w:sz="4" w:space="0" w:color="auto"/>
            </w:tcBorders>
          </w:tcPr>
          <w:p w14:paraId="4E653F31" w14:textId="77777777" w:rsidR="00553CA2" w:rsidRPr="00275E9A" w:rsidRDefault="00553CA2" w:rsidP="00B828A0">
            <w:pPr>
              <w:spacing w:after="0" w:line="240" w:lineRule="auto"/>
              <w:rPr>
                <w:rFonts w:ascii="Garamond" w:eastAsia="Times New Roman" w:hAnsi="Garamond" w:cs="Times New Roman"/>
                <w:bCs/>
                <w:color w:val="FF0000"/>
                <w:sz w:val="20"/>
                <w:szCs w:val="20"/>
              </w:rPr>
            </w:pPr>
            <w:r w:rsidRPr="00544701">
              <w:rPr>
                <w:rFonts w:ascii="Garamond" w:eastAsia="Times New Roman" w:hAnsi="Garamond" w:cs="Times New Roman"/>
                <w:bCs/>
                <w:color w:val="000000" w:themeColor="text1"/>
                <w:sz w:val="20"/>
                <w:szCs w:val="20"/>
              </w:rPr>
              <w:t>National benchmark</w:t>
            </w:r>
          </w:p>
        </w:tc>
        <w:tc>
          <w:tcPr>
            <w:tcW w:w="789" w:type="pct"/>
            <w:tcBorders>
              <w:top w:val="nil"/>
              <w:left w:val="nil"/>
              <w:bottom w:val="single" w:sz="4" w:space="0" w:color="auto"/>
              <w:right w:val="single" w:sz="4" w:space="0" w:color="auto"/>
            </w:tcBorders>
            <w:shd w:val="clear" w:color="auto" w:fill="00B050"/>
          </w:tcPr>
          <w:p w14:paraId="168C604B" w14:textId="77777777" w:rsidR="00553CA2" w:rsidRPr="00544701" w:rsidRDefault="00553CA2" w:rsidP="00B828A0">
            <w:pPr>
              <w:spacing w:after="0" w:line="240" w:lineRule="auto"/>
              <w:rPr>
                <w:rFonts w:ascii="Garamond" w:eastAsia="Times New Roman" w:hAnsi="Garamond" w:cs="Times New Roman"/>
                <w:bCs/>
                <w:color w:val="000000" w:themeColor="text1"/>
                <w:sz w:val="20"/>
                <w:szCs w:val="20"/>
              </w:rPr>
            </w:pPr>
          </w:p>
        </w:tc>
      </w:tr>
      <w:tr w:rsidR="00553CA2" w:rsidRPr="00D3224A" w14:paraId="32258842" w14:textId="2256DD76" w:rsidTr="004129BF">
        <w:trPr>
          <w:trHeight w:val="530"/>
        </w:trPr>
        <w:tc>
          <w:tcPr>
            <w:tcW w:w="744" w:type="pct"/>
            <w:vMerge/>
            <w:tcBorders>
              <w:left w:val="single" w:sz="4" w:space="0" w:color="auto"/>
              <w:bottom w:val="single" w:sz="4" w:space="0" w:color="auto"/>
              <w:right w:val="nil"/>
            </w:tcBorders>
            <w:shd w:val="clear" w:color="auto" w:fill="auto"/>
            <w:vAlign w:val="bottom"/>
            <w:hideMark/>
          </w:tcPr>
          <w:p w14:paraId="3D07FD2B" w14:textId="5A27E3BE" w:rsidR="00553CA2" w:rsidRPr="00D3224A" w:rsidRDefault="00553CA2" w:rsidP="007C5C59">
            <w:pPr>
              <w:spacing w:after="0" w:line="240" w:lineRule="auto"/>
              <w:rPr>
                <w:rFonts w:ascii="Garamond" w:eastAsia="Times New Roman" w:hAnsi="Garamond" w:cs="Times New Roman"/>
                <w:b/>
                <w:bCs/>
                <w:color w:val="000000"/>
                <w:sz w:val="20"/>
                <w:szCs w:val="20"/>
              </w:rPr>
            </w:pPr>
          </w:p>
        </w:tc>
        <w:tc>
          <w:tcPr>
            <w:tcW w:w="878" w:type="pct"/>
            <w:tcBorders>
              <w:top w:val="nil"/>
              <w:left w:val="single" w:sz="4" w:space="0" w:color="auto"/>
              <w:bottom w:val="single" w:sz="4" w:space="0" w:color="auto"/>
              <w:right w:val="single" w:sz="4" w:space="0" w:color="auto"/>
            </w:tcBorders>
            <w:shd w:val="clear" w:color="auto" w:fill="auto"/>
            <w:hideMark/>
          </w:tcPr>
          <w:p w14:paraId="76882279" w14:textId="77777777" w:rsidR="00553CA2" w:rsidRPr="00544701" w:rsidRDefault="00553CA2" w:rsidP="007C5C59">
            <w:pPr>
              <w:spacing w:after="0" w:line="240" w:lineRule="auto"/>
              <w:rPr>
                <w:rFonts w:ascii="Garamond" w:eastAsia="Times New Roman" w:hAnsi="Garamond" w:cs="Times New Roman"/>
                <w:bCs/>
                <w:color w:val="000000" w:themeColor="text1"/>
                <w:sz w:val="20"/>
                <w:szCs w:val="20"/>
              </w:rPr>
            </w:pPr>
            <w:r w:rsidRPr="00544701">
              <w:rPr>
                <w:rFonts w:ascii="Garamond" w:eastAsia="Times New Roman" w:hAnsi="Garamond" w:cs="Times New Roman"/>
                <w:bCs/>
                <w:color w:val="000000" w:themeColor="text1"/>
                <w:sz w:val="20"/>
                <w:szCs w:val="20"/>
              </w:rPr>
              <w:t>Percent full time students (NCCBP Fall 2013)</w:t>
            </w:r>
          </w:p>
        </w:tc>
        <w:tc>
          <w:tcPr>
            <w:tcW w:w="981" w:type="pct"/>
            <w:tcBorders>
              <w:top w:val="nil"/>
              <w:left w:val="nil"/>
              <w:bottom w:val="single" w:sz="4" w:space="0" w:color="auto"/>
              <w:right w:val="single" w:sz="4" w:space="0" w:color="auto"/>
            </w:tcBorders>
            <w:shd w:val="clear" w:color="auto" w:fill="auto"/>
            <w:hideMark/>
          </w:tcPr>
          <w:p w14:paraId="54B9B571" w14:textId="77777777" w:rsidR="00553CA2" w:rsidRDefault="00553CA2" w:rsidP="00A46D59">
            <w:pPr>
              <w:spacing w:after="0" w:line="240" w:lineRule="auto"/>
              <w:rPr>
                <w:rFonts w:ascii="Garamond" w:eastAsia="Times New Roman" w:hAnsi="Garamond" w:cs="Times New Roman"/>
                <w:bCs/>
                <w:color w:val="000000" w:themeColor="text1"/>
                <w:sz w:val="20"/>
                <w:szCs w:val="20"/>
              </w:rPr>
            </w:pPr>
            <w:r w:rsidRPr="00544701">
              <w:rPr>
                <w:rFonts w:ascii="Garamond" w:eastAsia="Times New Roman" w:hAnsi="Garamond" w:cs="Times New Roman"/>
                <w:bCs/>
                <w:color w:val="000000" w:themeColor="text1"/>
                <w:sz w:val="20"/>
                <w:szCs w:val="20"/>
              </w:rPr>
              <w:t>66.64% of student full time (12 or more credits)</w:t>
            </w:r>
          </w:p>
          <w:p w14:paraId="5F9F8393" w14:textId="1B54D851" w:rsidR="00553CA2" w:rsidRPr="00544701" w:rsidRDefault="00553CA2" w:rsidP="00A46D59">
            <w:pPr>
              <w:spacing w:after="0" w:line="240" w:lineRule="auto"/>
              <w:rPr>
                <w:rFonts w:ascii="Garamond" w:eastAsia="Times New Roman" w:hAnsi="Garamond" w:cs="Times New Roman"/>
                <w:bCs/>
                <w:color w:val="000000" w:themeColor="text1"/>
                <w:sz w:val="20"/>
                <w:szCs w:val="20"/>
              </w:rPr>
            </w:pPr>
            <w:r w:rsidRPr="00544701">
              <w:rPr>
                <w:rFonts w:ascii="Garamond" w:eastAsia="Times New Roman" w:hAnsi="Garamond" w:cs="Times New Roman"/>
                <w:bCs/>
                <w:color w:val="000000" w:themeColor="text1"/>
                <w:sz w:val="20"/>
                <w:szCs w:val="20"/>
              </w:rPr>
              <w:t xml:space="preserve">NCCBP </w:t>
            </w:r>
            <w:r>
              <w:rPr>
                <w:rFonts w:ascii="Garamond" w:eastAsia="Times New Roman" w:hAnsi="Garamond" w:cs="Times New Roman"/>
                <w:bCs/>
                <w:color w:val="000000" w:themeColor="text1"/>
                <w:sz w:val="20"/>
                <w:szCs w:val="20"/>
              </w:rPr>
              <w:t>%</w:t>
            </w:r>
            <w:r w:rsidRPr="00544701">
              <w:rPr>
                <w:rFonts w:ascii="Garamond" w:eastAsia="Times New Roman" w:hAnsi="Garamond" w:cs="Times New Roman"/>
                <w:bCs/>
                <w:color w:val="000000" w:themeColor="text1"/>
                <w:sz w:val="20"/>
                <w:szCs w:val="20"/>
              </w:rPr>
              <w:t>Rank 9</w:t>
            </w:r>
            <w:r>
              <w:rPr>
                <w:rFonts w:ascii="Garamond" w:eastAsia="Times New Roman" w:hAnsi="Garamond" w:cs="Times New Roman"/>
                <w:bCs/>
                <w:color w:val="000000" w:themeColor="text1"/>
                <w:sz w:val="20"/>
                <w:szCs w:val="20"/>
              </w:rPr>
              <w:t>6%</w:t>
            </w:r>
            <w:r w:rsidRPr="00A46D59" w:rsidDel="000A4106">
              <w:rPr>
                <w:rFonts w:ascii="Garamond" w:eastAsia="Times New Roman" w:hAnsi="Garamond" w:cs="Times New Roman"/>
                <w:bCs/>
                <w:color w:val="000000" w:themeColor="text1"/>
                <w:sz w:val="20"/>
                <w:szCs w:val="20"/>
              </w:rPr>
              <w:t xml:space="preserve"> </w:t>
            </w:r>
          </w:p>
        </w:tc>
        <w:tc>
          <w:tcPr>
            <w:tcW w:w="818" w:type="pct"/>
            <w:tcBorders>
              <w:top w:val="nil"/>
              <w:left w:val="nil"/>
              <w:bottom w:val="single" w:sz="4" w:space="0" w:color="auto"/>
              <w:right w:val="single" w:sz="4" w:space="0" w:color="auto"/>
            </w:tcBorders>
            <w:shd w:val="clear" w:color="auto" w:fill="auto"/>
            <w:hideMark/>
          </w:tcPr>
          <w:p w14:paraId="1D16D268" w14:textId="6359ADBC" w:rsidR="00553CA2" w:rsidRDefault="00553CA2" w:rsidP="007C5C59">
            <w:pPr>
              <w:spacing w:after="0" w:line="240" w:lineRule="auto"/>
              <w:rPr>
                <w:rFonts w:ascii="Garamond" w:eastAsia="Times New Roman" w:hAnsi="Garamond" w:cs="Times New Roman"/>
                <w:bCs/>
                <w:color w:val="000000" w:themeColor="text1"/>
                <w:sz w:val="20"/>
                <w:szCs w:val="20"/>
              </w:rPr>
            </w:pPr>
            <w:r>
              <w:rPr>
                <w:rFonts w:ascii="Garamond" w:eastAsia="Times New Roman" w:hAnsi="Garamond" w:cs="Times New Roman"/>
                <w:bCs/>
                <w:color w:val="000000" w:themeColor="text1"/>
                <w:sz w:val="20"/>
                <w:szCs w:val="20"/>
              </w:rPr>
              <w:t>S</w:t>
            </w:r>
            <w:r w:rsidRPr="00544701">
              <w:rPr>
                <w:rFonts w:ascii="Garamond" w:eastAsia="Times New Roman" w:hAnsi="Garamond" w:cs="Times New Roman"/>
                <w:bCs/>
                <w:color w:val="000000" w:themeColor="text1"/>
                <w:sz w:val="20"/>
                <w:szCs w:val="20"/>
              </w:rPr>
              <w:t xml:space="preserve">tudents full time (12 or more credits) </w:t>
            </w:r>
          </w:p>
          <w:p w14:paraId="6026B6BF" w14:textId="6950E9D7" w:rsidR="00553CA2" w:rsidRDefault="00553CA2" w:rsidP="007C5C59">
            <w:pPr>
              <w:spacing w:after="0" w:line="240" w:lineRule="auto"/>
              <w:rPr>
                <w:rFonts w:ascii="Garamond" w:eastAsia="Times New Roman" w:hAnsi="Garamond" w:cs="Times New Roman"/>
                <w:bCs/>
                <w:color w:val="000000" w:themeColor="text1"/>
                <w:sz w:val="20"/>
                <w:szCs w:val="20"/>
              </w:rPr>
            </w:pPr>
            <w:r>
              <w:rPr>
                <w:rFonts w:ascii="Garamond" w:eastAsia="Times New Roman" w:hAnsi="Garamond" w:cs="Times New Roman"/>
                <w:bCs/>
                <w:color w:val="000000" w:themeColor="text1"/>
                <w:sz w:val="20"/>
                <w:szCs w:val="20"/>
              </w:rPr>
              <w:t>Green ≥48.5</w:t>
            </w:r>
            <w:r w:rsidRPr="00436345">
              <w:rPr>
                <w:rFonts w:ascii="Garamond" w:eastAsia="Times New Roman" w:hAnsi="Garamond" w:cs="Times New Roman"/>
                <w:bCs/>
                <w:color w:val="000000" w:themeColor="text1"/>
                <w:sz w:val="20"/>
                <w:szCs w:val="20"/>
              </w:rPr>
              <w:t>%</w:t>
            </w:r>
          </w:p>
          <w:p w14:paraId="6A80BA8A" w14:textId="2003CF09" w:rsidR="00553CA2" w:rsidRDefault="00553CA2" w:rsidP="007C5C59">
            <w:pPr>
              <w:spacing w:after="0" w:line="240" w:lineRule="auto"/>
              <w:rPr>
                <w:rFonts w:ascii="Garamond" w:eastAsia="Times New Roman" w:hAnsi="Garamond" w:cs="Times New Roman"/>
                <w:bCs/>
                <w:color w:val="000000" w:themeColor="text1"/>
                <w:sz w:val="20"/>
                <w:szCs w:val="20"/>
              </w:rPr>
            </w:pPr>
            <w:r>
              <w:rPr>
                <w:rFonts w:ascii="Garamond" w:eastAsia="Times New Roman" w:hAnsi="Garamond" w:cs="Times New Roman"/>
                <w:bCs/>
                <w:color w:val="000000" w:themeColor="text1"/>
                <w:sz w:val="20"/>
                <w:szCs w:val="20"/>
              </w:rPr>
              <w:t xml:space="preserve">Yellow </w:t>
            </w:r>
            <w:r w:rsidR="00B07B7B">
              <w:rPr>
                <w:rFonts w:ascii="Garamond" w:eastAsia="Times New Roman" w:hAnsi="Garamond" w:cs="Times New Roman"/>
                <w:bCs/>
                <w:color w:val="000000" w:themeColor="text1"/>
                <w:sz w:val="20"/>
                <w:szCs w:val="20"/>
              </w:rPr>
              <w:t>=</w:t>
            </w:r>
            <w:r>
              <w:rPr>
                <w:rFonts w:ascii="Garamond" w:eastAsia="Times New Roman" w:hAnsi="Garamond" w:cs="Times New Roman"/>
                <w:bCs/>
                <w:color w:val="000000" w:themeColor="text1"/>
                <w:sz w:val="20"/>
                <w:szCs w:val="20"/>
              </w:rPr>
              <w:t>41-48.4%</w:t>
            </w:r>
          </w:p>
          <w:p w14:paraId="058795EB" w14:textId="56B3EF8A" w:rsidR="00553CA2" w:rsidRPr="00544701" w:rsidRDefault="00553CA2" w:rsidP="007C5C59">
            <w:pPr>
              <w:spacing w:after="0" w:line="240" w:lineRule="auto"/>
              <w:rPr>
                <w:rFonts w:ascii="Garamond" w:eastAsia="Times New Roman" w:hAnsi="Garamond" w:cs="Times New Roman"/>
                <w:bCs/>
                <w:color w:val="000000" w:themeColor="text1"/>
                <w:sz w:val="20"/>
                <w:szCs w:val="20"/>
              </w:rPr>
            </w:pPr>
            <w:r>
              <w:rPr>
                <w:rFonts w:ascii="Garamond" w:eastAsia="Times New Roman" w:hAnsi="Garamond" w:cs="Times New Roman"/>
                <w:bCs/>
                <w:color w:val="000000" w:themeColor="text1"/>
                <w:sz w:val="20"/>
                <w:szCs w:val="20"/>
              </w:rPr>
              <w:t>Red &lt;40.5</w:t>
            </w:r>
          </w:p>
        </w:tc>
        <w:tc>
          <w:tcPr>
            <w:tcW w:w="790" w:type="pct"/>
            <w:tcBorders>
              <w:top w:val="nil"/>
              <w:left w:val="nil"/>
              <w:bottom w:val="single" w:sz="4" w:space="0" w:color="auto"/>
              <w:right w:val="single" w:sz="4" w:space="0" w:color="auto"/>
            </w:tcBorders>
          </w:tcPr>
          <w:p w14:paraId="3D8F00FC" w14:textId="77777777" w:rsidR="00553CA2" w:rsidRPr="00544701" w:rsidRDefault="00553CA2" w:rsidP="007C5C59">
            <w:pPr>
              <w:spacing w:after="0" w:line="240" w:lineRule="auto"/>
              <w:rPr>
                <w:rFonts w:ascii="Garamond" w:eastAsia="Times New Roman" w:hAnsi="Garamond" w:cs="Times New Roman"/>
                <w:bCs/>
                <w:color w:val="000000" w:themeColor="text1"/>
                <w:sz w:val="20"/>
                <w:szCs w:val="20"/>
              </w:rPr>
            </w:pPr>
            <w:r w:rsidRPr="00544701">
              <w:rPr>
                <w:rFonts w:ascii="Garamond" w:eastAsia="Times New Roman" w:hAnsi="Garamond" w:cs="Times New Roman"/>
                <w:bCs/>
                <w:color w:val="000000" w:themeColor="text1"/>
                <w:sz w:val="20"/>
                <w:szCs w:val="20"/>
              </w:rPr>
              <w:t>National benchmark</w:t>
            </w:r>
          </w:p>
        </w:tc>
        <w:tc>
          <w:tcPr>
            <w:tcW w:w="789" w:type="pct"/>
            <w:tcBorders>
              <w:top w:val="nil"/>
              <w:left w:val="nil"/>
              <w:bottom w:val="single" w:sz="4" w:space="0" w:color="auto"/>
              <w:right w:val="single" w:sz="4" w:space="0" w:color="auto"/>
            </w:tcBorders>
            <w:shd w:val="clear" w:color="auto" w:fill="00B050"/>
          </w:tcPr>
          <w:p w14:paraId="797AC4E4" w14:textId="77777777" w:rsidR="00553CA2" w:rsidRPr="00544701" w:rsidRDefault="00553CA2" w:rsidP="007C5C59">
            <w:pPr>
              <w:spacing w:after="0" w:line="240" w:lineRule="auto"/>
              <w:rPr>
                <w:rFonts w:ascii="Garamond" w:eastAsia="Times New Roman" w:hAnsi="Garamond" w:cs="Times New Roman"/>
                <w:bCs/>
                <w:color w:val="000000" w:themeColor="text1"/>
                <w:sz w:val="20"/>
                <w:szCs w:val="20"/>
              </w:rPr>
            </w:pPr>
          </w:p>
        </w:tc>
      </w:tr>
      <w:tr w:rsidR="00553CA2" w:rsidRPr="00D3224A" w14:paraId="5CDB9170" w14:textId="75E0548A" w:rsidTr="00553CA2">
        <w:trPr>
          <w:trHeight w:val="269"/>
        </w:trPr>
        <w:tc>
          <w:tcPr>
            <w:tcW w:w="4211" w:type="pct"/>
            <w:gridSpan w:val="5"/>
            <w:tcBorders>
              <w:top w:val="single" w:sz="4" w:space="0" w:color="auto"/>
              <w:left w:val="single" w:sz="4" w:space="0" w:color="auto"/>
              <w:right w:val="single" w:sz="4" w:space="0" w:color="auto"/>
            </w:tcBorders>
            <w:shd w:val="clear" w:color="auto" w:fill="D0CECE" w:themeFill="background2" w:themeFillShade="E6"/>
          </w:tcPr>
          <w:p w14:paraId="64E9151B" w14:textId="678142A8" w:rsidR="00553CA2" w:rsidRPr="00B85949" w:rsidRDefault="00553CA2" w:rsidP="00251E1F">
            <w:pPr>
              <w:spacing w:after="0" w:line="240" w:lineRule="auto"/>
              <w:rPr>
                <w:rFonts w:ascii="Garamond" w:eastAsia="Times New Roman" w:hAnsi="Garamond" w:cs="Times New Roman"/>
                <w:color w:val="FF0000"/>
                <w:sz w:val="20"/>
                <w:szCs w:val="20"/>
              </w:rPr>
            </w:pPr>
          </w:p>
        </w:tc>
        <w:tc>
          <w:tcPr>
            <w:tcW w:w="789" w:type="pct"/>
            <w:tcBorders>
              <w:top w:val="single" w:sz="4" w:space="0" w:color="auto"/>
              <w:left w:val="single" w:sz="4" w:space="0" w:color="auto"/>
              <w:right w:val="single" w:sz="4" w:space="0" w:color="auto"/>
            </w:tcBorders>
            <w:shd w:val="clear" w:color="auto" w:fill="D0CECE" w:themeFill="background2" w:themeFillShade="E6"/>
          </w:tcPr>
          <w:p w14:paraId="3A1819C2" w14:textId="77777777" w:rsidR="00553CA2" w:rsidRPr="00B85949" w:rsidRDefault="00553CA2" w:rsidP="00251E1F">
            <w:pPr>
              <w:spacing w:after="0" w:line="240" w:lineRule="auto"/>
              <w:rPr>
                <w:rFonts w:ascii="Garamond" w:eastAsia="Times New Roman" w:hAnsi="Garamond" w:cs="Times New Roman"/>
                <w:color w:val="FF0000"/>
                <w:sz w:val="20"/>
                <w:szCs w:val="20"/>
              </w:rPr>
            </w:pPr>
          </w:p>
        </w:tc>
      </w:tr>
      <w:tr w:rsidR="00553CA2" w:rsidRPr="00D3224A" w14:paraId="47FED4CE" w14:textId="49A10968" w:rsidTr="004129BF">
        <w:trPr>
          <w:trHeight w:val="809"/>
        </w:trPr>
        <w:tc>
          <w:tcPr>
            <w:tcW w:w="744" w:type="pct"/>
            <w:vMerge w:val="restart"/>
            <w:tcBorders>
              <w:top w:val="single" w:sz="4" w:space="0" w:color="auto"/>
              <w:left w:val="single" w:sz="4" w:space="0" w:color="auto"/>
              <w:bottom w:val="single" w:sz="4" w:space="0" w:color="auto"/>
              <w:right w:val="nil"/>
            </w:tcBorders>
            <w:shd w:val="clear" w:color="auto" w:fill="auto"/>
            <w:hideMark/>
          </w:tcPr>
          <w:p w14:paraId="6E674D5A" w14:textId="77777777" w:rsidR="00553CA2" w:rsidRPr="00D3224A" w:rsidRDefault="00553CA2" w:rsidP="00251E1F">
            <w:pPr>
              <w:spacing w:after="0" w:line="240" w:lineRule="auto"/>
              <w:rPr>
                <w:rFonts w:ascii="Garamond" w:eastAsia="Times New Roman" w:hAnsi="Garamond" w:cs="Times New Roman"/>
                <w:b/>
                <w:bCs/>
                <w:color w:val="000000"/>
                <w:sz w:val="20"/>
                <w:szCs w:val="20"/>
              </w:rPr>
            </w:pPr>
            <w:r w:rsidRPr="00D3224A">
              <w:rPr>
                <w:rFonts w:ascii="Garamond" w:eastAsia="Times New Roman" w:hAnsi="Garamond" w:cs="Times New Roman"/>
                <w:b/>
                <w:bCs/>
                <w:color w:val="000000"/>
                <w:sz w:val="20"/>
                <w:szCs w:val="20"/>
              </w:rPr>
              <w:t>that is committed to the success of the Federated States of Micronesia</w:t>
            </w:r>
            <w:r>
              <w:rPr>
                <w:rFonts w:ascii="Garamond" w:eastAsia="Times New Roman" w:hAnsi="Garamond" w:cs="Times New Roman"/>
                <w:b/>
                <w:bCs/>
                <w:color w:val="000000"/>
                <w:sz w:val="20"/>
                <w:szCs w:val="20"/>
              </w:rPr>
              <w:t xml:space="preserve"> </w:t>
            </w:r>
          </w:p>
          <w:p w14:paraId="0C0F6378" w14:textId="77777777" w:rsidR="00553CA2" w:rsidRPr="00D3224A" w:rsidRDefault="00553CA2" w:rsidP="00251E1F">
            <w:pPr>
              <w:spacing w:after="0" w:line="240" w:lineRule="auto"/>
              <w:rPr>
                <w:rFonts w:ascii="Garamond" w:eastAsia="Times New Roman" w:hAnsi="Garamond" w:cs="Times New Roman"/>
                <w:color w:val="000000"/>
                <w:sz w:val="20"/>
                <w:szCs w:val="20"/>
              </w:rPr>
            </w:pPr>
            <w:r w:rsidRPr="00D3224A">
              <w:rPr>
                <w:rFonts w:ascii="Garamond" w:eastAsia="Times New Roman" w:hAnsi="Garamond" w:cs="Times New Roman"/>
                <w:color w:val="000000"/>
                <w:sz w:val="20"/>
                <w:szCs w:val="20"/>
              </w:rPr>
              <w:t> </w:t>
            </w:r>
          </w:p>
          <w:p w14:paraId="4567AA1E" w14:textId="77777777" w:rsidR="00553CA2" w:rsidRPr="00D3224A" w:rsidRDefault="00553CA2" w:rsidP="00251E1F">
            <w:pPr>
              <w:spacing w:after="0" w:line="240" w:lineRule="auto"/>
              <w:rPr>
                <w:rFonts w:ascii="Garamond" w:eastAsia="Times New Roman" w:hAnsi="Garamond" w:cs="Times New Roman"/>
                <w:color w:val="000000"/>
                <w:sz w:val="20"/>
                <w:szCs w:val="20"/>
              </w:rPr>
            </w:pPr>
            <w:r w:rsidRPr="00D3224A">
              <w:rPr>
                <w:rFonts w:ascii="Garamond" w:eastAsia="Times New Roman" w:hAnsi="Garamond" w:cs="Times New Roman"/>
                <w:color w:val="000000"/>
                <w:sz w:val="20"/>
                <w:szCs w:val="20"/>
              </w:rPr>
              <w:t> </w:t>
            </w:r>
          </w:p>
          <w:p w14:paraId="34F60B3A" w14:textId="77777777" w:rsidR="00553CA2" w:rsidRPr="00D3224A" w:rsidRDefault="00553CA2" w:rsidP="00251E1F">
            <w:pPr>
              <w:spacing w:after="0" w:line="240" w:lineRule="auto"/>
              <w:rPr>
                <w:rFonts w:ascii="Garamond" w:eastAsia="Times New Roman" w:hAnsi="Garamond" w:cs="Times New Roman"/>
                <w:color w:val="000000"/>
                <w:sz w:val="20"/>
                <w:szCs w:val="20"/>
              </w:rPr>
            </w:pPr>
            <w:r w:rsidRPr="00D3224A">
              <w:rPr>
                <w:rFonts w:ascii="Garamond" w:eastAsia="Times New Roman" w:hAnsi="Garamond" w:cs="Times New Roman"/>
                <w:color w:val="000000"/>
                <w:sz w:val="20"/>
                <w:szCs w:val="20"/>
              </w:rPr>
              <w:t> </w:t>
            </w:r>
          </w:p>
          <w:p w14:paraId="5E19911A" w14:textId="77777777" w:rsidR="00553CA2" w:rsidRPr="00D3224A" w:rsidRDefault="00553CA2" w:rsidP="00251E1F">
            <w:pPr>
              <w:spacing w:after="0" w:line="240" w:lineRule="auto"/>
              <w:rPr>
                <w:rFonts w:ascii="Garamond" w:eastAsia="Times New Roman" w:hAnsi="Garamond" w:cs="Times New Roman"/>
                <w:b/>
                <w:bCs/>
                <w:color w:val="000000"/>
                <w:sz w:val="20"/>
                <w:szCs w:val="20"/>
              </w:rPr>
            </w:pPr>
            <w:r w:rsidRPr="00D3224A">
              <w:rPr>
                <w:rFonts w:ascii="Garamond" w:eastAsia="Times New Roman" w:hAnsi="Garamond" w:cs="Times New Roman"/>
                <w:color w:val="000000"/>
                <w:sz w:val="20"/>
                <w:szCs w:val="20"/>
              </w:rPr>
              <w:t> </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15E074E7" w14:textId="5D578156" w:rsidR="00553CA2" w:rsidRPr="00D3224A" w:rsidRDefault="00553CA2" w:rsidP="00C41D8D">
            <w:pPr>
              <w:spacing w:after="0" w:line="240" w:lineRule="auto"/>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College provides higher education (HE) access</w:t>
            </w:r>
            <w:r w:rsidRPr="00D3224A">
              <w:rPr>
                <w:rFonts w:ascii="Garamond" w:eastAsia="Times New Roman" w:hAnsi="Garamond" w:cs="Times New Roman"/>
                <w:bCs/>
                <w:color w:val="000000"/>
                <w:sz w:val="20"/>
                <w:szCs w:val="20"/>
              </w:rPr>
              <w:t xml:space="preserve"> </w:t>
            </w:r>
            <w:r>
              <w:rPr>
                <w:rFonts w:ascii="Garamond" w:eastAsia="Times New Roman" w:hAnsi="Garamond" w:cs="Times New Roman"/>
                <w:bCs/>
                <w:color w:val="000000"/>
                <w:sz w:val="20"/>
                <w:szCs w:val="20"/>
              </w:rPr>
              <w:t>to all four states of the FSM</w:t>
            </w:r>
          </w:p>
        </w:tc>
        <w:tc>
          <w:tcPr>
            <w:tcW w:w="981" w:type="pct"/>
            <w:tcBorders>
              <w:top w:val="single" w:sz="4" w:space="0" w:color="auto"/>
              <w:left w:val="nil"/>
              <w:bottom w:val="single" w:sz="4" w:space="0" w:color="auto"/>
              <w:right w:val="single" w:sz="4" w:space="0" w:color="auto"/>
            </w:tcBorders>
            <w:shd w:val="clear" w:color="auto" w:fill="auto"/>
          </w:tcPr>
          <w:p w14:paraId="337CF866" w14:textId="77777777" w:rsidR="00553CA2" w:rsidRDefault="00553CA2" w:rsidP="00A21480">
            <w:pPr>
              <w:pStyle w:val="CommentText"/>
              <w:rPr>
                <w:rFonts w:ascii="Garamond" w:hAnsi="Garamond"/>
                <w:sz w:val="16"/>
                <w:szCs w:val="16"/>
              </w:rPr>
            </w:pPr>
            <w:r w:rsidRPr="00A21480">
              <w:rPr>
                <w:rFonts w:ascii="Garamond" w:hAnsi="Garamond"/>
                <w:sz w:val="16"/>
                <w:szCs w:val="16"/>
              </w:rPr>
              <w:t>State            |   College  |  Census |  Difference</w:t>
            </w:r>
          </w:p>
          <w:p w14:paraId="55D600F6" w14:textId="020CB088" w:rsidR="00553CA2" w:rsidRDefault="00553CA2" w:rsidP="00A21480">
            <w:pPr>
              <w:pStyle w:val="CommentText"/>
              <w:rPr>
                <w:rFonts w:ascii="Garamond" w:hAnsi="Garamond"/>
                <w:sz w:val="16"/>
                <w:szCs w:val="16"/>
              </w:rPr>
            </w:pPr>
            <w:r w:rsidRPr="00A21480">
              <w:rPr>
                <w:rFonts w:ascii="Garamond" w:hAnsi="Garamond"/>
                <w:sz w:val="16"/>
                <w:szCs w:val="16"/>
              </w:rPr>
              <w:t xml:space="preserve">Chuukese    |  14.1%    </w:t>
            </w:r>
            <w:r>
              <w:rPr>
                <w:rFonts w:ascii="Garamond" w:hAnsi="Garamond"/>
                <w:sz w:val="16"/>
                <w:szCs w:val="16"/>
              </w:rPr>
              <w:t xml:space="preserve"> </w:t>
            </w:r>
            <w:r w:rsidRPr="00A21480">
              <w:rPr>
                <w:rFonts w:ascii="Garamond" w:hAnsi="Garamond"/>
                <w:sz w:val="16"/>
                <w:szCs w:val="16"/>
              </w:rPr>
              <w:t>|  47.4%   |  -33.3%</w:t>
            </w:r>
          </w:p>
          <w:p w14:paraId="43E374EE" w14:textId="77777777" w:rsidR="00553CA2" w:rsidRDefault="00553CA2" w:rsidP="00A21480">
            <w:pPr>
              <w:pStyle w:val="CommentText"/>
              <w:rPr>
                <w:rFonts w:ascii="Garamond" w:hAnsi="Garamond"/>
                <w:sz w:val="16"/>
                <w:szCs w:val="16"/>
              </w:rPr>
            </w:pPr>
            <w:r w:rsidRPr="00A21480">
              <w:rPr>
                <w:rFonts w:ascii="Garamond" w:hAnsi="Garamond"/>
                <w:sz w:val="16"/>
                <w:szCs w:val="16"/>
              </w:rPr>
              <w:t>Kosraean     |  12.7%    | 6.4%      |  6.3%</w:t>
            </w:r>
          </w:p>
          <w:p w14:paraId="752B87E9" w14:textId="3BDD0269" w:rsidR="00553CA2" w:rsidRDefault="00553CA2" w:rsidP="00A21480">
            <w:pPr>
              <w:pStyle w:val="CommentText"/>
              <w:rPr>
                <w:rFonts w:ascii="Garamond" w:hAnsi="Garamond"/>
                <w:sz w:val="16"/>
                <w:szCs w:val="16"/>
              </w:rPr>
            </w:pPr>
            <w:r w:rsidRPr="00A21480">
              <w:rPr>
                <w:rFonts w:ascii="Garamond" w:hAnsi="Garamond"/>
                <w:sz w:val="16"/>
                <w:szCs w:val="16"/>
              </w:rPr>
              <w:t xml:space="preserve">Pohnpeian </w:t>
            </w:r>
            <w:r>
              <w:rPr>
                <w:rFonts w:ascii="Garamond" w:hAnsi="Garamond"/>
                <w:sz w:val="16"/>
                <w:szCs w:val="16"/>
              </w:rPr>
              <w:t xml:space="preserve"> </w:t>
            </w:r>
            <w:r w:rsidRPr="00A21480">
              <w:rPr>
                <w:rFonts w:ascii="Garamond" w:hAnsi="Garamond"/>
                <w:sz w:val="16"/>
                <w:szCs w:val="16"/>
              </w:rPr>
              <w:t xml:space="preserve"> |  60.0%    |  35.1%   |  24.9%</w:t>
            </w:r>
          </w:p>
          <w:p w14:paraId="707A5669" w14:textId="6231059E" w:rsidR="00553CA2" w:rsidRDefault="00553CA2" w:rsidP="00A21480">
            <w:pPr>
              <w:pStyle w:val="CommentText"/>
              <w:rPr>
                <w:rFonts w:ascii="Garamond" w:hAnsi="Garamond"/>
                <w:sz w:val="16"/>
                <w:szCs w:val="16"/>
              </w:rPr>
            </w:pPr>
            <w:r w:rsidRPr="00A21480">
              <w:rPr>
                <w:rFonts w:ascii="Garamond" w:hAnsi="Garamond"/>
                <w:sz w:val="16"/>
                <w:szCs w:val="16"/>
              </w:rPr>
              <w:t xml:space="preserve">Yapese         |  12.4%    |  11.1% </w:t>
            </w:r>
            <w:r>
              <w:rPr>
                <w:rFonts w:ascii="Garamond" w:hAnsi="Garamond"/>
                <w:sz w:val="16"/>
                <w:szCs w:val="16"/>
              </w:rPr>
              <w:t xml:space="preserve"> </w:t>
            </w:r>
            <w:r w:rsidRPr="00A21480">
              <w:rPr>
                <w:rFonts w:ascii="Garamond" w:hAnsi="Garamond"/>
                <w:sz w:val="16"/>
                <w:szCs w:val="16"/>
              </w:rPr>
              <w:t xml:space="preserve"> |  1.3%</w:t>
            </w:r>
          </w:p>
          <w:p w14:paraId="5010D79C" w14:textId="5A82ACEE" w:rsidR="00553CA2" w:rsidRPr="00A21480" w:rsidRDefault="00553CA2" w:rsidP="00A21480">
            <w:pPr>
              <w:pStyle w:val="CommentText"/>
              <w:rPr>
                <w:rFonts w:ascii="Garamond" w:hAnsi="Garamond"/>
                <w:sz w:val="16"/>
                <w:szCs w:val="16"/>
              </w:rPr>
            </w:pPr>
            <w:r>
              <w:rPr>
                <w:rFonts w:ascii="Garamond" w:hAnsi="Garamond"/>
                <w:sz w:val="16"/>
                <w:szCs w:val="16"/>
              </w:rPr>
              <w:t xml:space="preserve">Total            |  99.2%    </w:t>
            </w:r>
            <w:r w:rsidRPr="00A21480">
              <w:rPr>
                <w:rFonts w:ascii="Garamond" w:hAnsi="Garamond"/>
                <w:sz w:val="16"/>
                <w:szCs w:val="16"/>
              </w:rPr>
              <w:t>|  100%</w:t>
            </w:r>
          </w:p>
          <w:p w14:paraId="5379B49E" w14:textId="77777777" w:rsidR="00553CA2" w:rsidRPr="00A21480" w:rsidRDefault="00553CA2" w:rsidP="00251E1F">
            <w:pPr>
              <w:spacing w:after="0" w:line="240" w:lineRule="auto"/>
              <w:rPr>
                <w:rFonts w:ascii="Garamond" w:eastAsia="Times New Roman" w:hAnsi="Garamond" w:cs="Times New Roman"/>
                <w:bCs/>
                <w:color w:val="000000"/>
                <w:sz w:val="16"/>
                <w:szCs w:val="16"/>
              </w:rPr>
            </w:pPr>
          </w:p>
          <w:p w14:paraId="7F12F760" w14:textId="77777777" w:rsidR="00553CA2" w:rsidRDefault="00553CA2" w:rsidP="00251E1F">
            <w:pPr>
              <w:spacing w:after="0" w:line="240" w:lineRule="auto"/>
              <w:rPr>
                <w:rFonts w:ascii="Garamond" w:eastAsia="Times New Roman" w:hAnsi="Garamond" w:cs="Times New Roman"/>
                <w:bCs/>
                <w:color w:val="000000"/>
                <w:sz w:val="20"/>
                <w:szCs w:val="20"/>
              </w:rPr>
            </w:pPr>
          </w:p>
          <w:p w14:paraId="5EF18F51" w14:textId="771A2973" w:rsidR="00553CA2" w:rsidRPr="00D3224A" w:rsidRDefault="00553CA2" w:rsidP="00F20319">
            <w:pPr>
              <w:spacing w:after="0" w:line="240" w:lineRule="auto"/>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*Keeping in mind that not all factors are within the direct control of COM-FSM. However, the college is tasked with taking efforts to improve access and equity when there is imbalance in representation.</w:t>
            </w:r>
          </w:p>
        </w:tc>
        <w:tc>
          <w:tcPr>
            <w:tcW w:w="818" w:type="pct"/>
            <w:tcBorders>
              <w:top w:val="single" w:sz="4" w:space="0" w:color="auto"/>
              <w:left w:val="nil"/>
              <w:bottom w:val="single" w:sz="4" w:space="0" w:color="auto"/>
              <w:right w:val="single" w:sz="4" w:space="0" w:color="auto"/>
            </w:tcBorders>
            <w:shd w:val="clear" w:color="auto" w:fill="auto"/>
          </w:tcPr>
          <w:p w14:paraId="59720C7A" w14:textId="5FD39B5F" w:rsidR="00553CA2" w:rsidRDefault="00553CA2" w:rsidP="00C148C3">
            <w:pPr>
              <w:spacing w:after="0" w:line="240" w:lineRule="auto"/>
              <w:rPr>
                <w:rFonts w:ascii="Garamond" w:eastAsia="Times New Roman" w:hAnsi="Garamond" w:cs="Times New Roman"/>
                <w:color w:val="000000"/>
                <w:sz w:val="20"/>
                <w:szCs w:val="20"/>
              </w:rPr>
            </w:pPr>
            <w:r w:rsidRPr="00B07B7B">
              <w:rPr>
                <w:rFonts w:ascii="Garamond" w:eastAsia="Times New Roman" w:hAnsi="Garamond" w:cs="Times New Roman"/>
                <w:color w:val="000000"/>
                <w:sz w:val="20"/>
                <w:szCs w:val="20"/>
              </w:rPr>
              <w:t>Census population for all four states compared to student population within COM-FSM:</w:t>
            </w:r>
          </w:p>
          <w:p w14:paraId="5A84F7EC" w14:textId="77777777" w:rsidR="00553CA2" w:rsidRDefault="00553CA2" w:rsidP="00C148C3">
            <w:pPr>
              <w:spacing w:after="0" w:line="240" w:lineRule="auto"/>
              <w:rPr>
                <w:rFonts w:ascii="Garamond" w:eastAsia="Times New Roman" w:hAnsi="Garamond" w:cs="Times New Roman"/>
                <w:color w:val="000000"/>
                <w:sz w:val="20"/>
                <w:szCs w:val="20"/>
              </w:rPr>
            </w:pPr>
          </w:p>
          <w:p w14:paraId="355F2119" w14:textId="588570A7" w:rsidR="00553CA2" w:rsidRDefault="00553CA2" w:rsidP="00C148C3">
            <w:pPr>
              <w:spacing w:after="0" w:line="240" w:lineRule="auto"/>
              <w:rPr>
                <w:rFonts w:ascii="Garamond" w:eastAsia="Times New Roman" w:hAnsi="Garamond" w:cs="Times New Roman"/>
                <w:color w:val="000000"/>
                <w:sz w:val="20"/>
                <w:szCs w:val="20"/>
              </w:rPr>
            </w:pPr>
            <w:r>
              <w:rPr>
                <w:rFonts w:ascii="Garamond" w:eastAsia="Times New Roman" w:hAnsi="Garamond" w:cs="Times New Roman"/>
                <w:color w:val="000000"/>
                <w:sz w:val="20"/>
                <w:szCs w:val="20"/>
              </w:rPr>
              <w:t>Green = COM</w:t>
            </w:r>
            <w:r w:rsidR="00D96415">
              <w:rPr>
                <w:rFonts w:ascii="Garamond" w:eastAsia="Times New Roman" w:hAnsi="Garamond" w:cs="Times New Roman"/>
                <w:color w:val="000000"/>
                <w:sz w:val="20"/>
                <w:szCs w:val="20"/>
              </w:rPr>
              <w:t>-</w:t>
            </w:r>
            <w:r>
              <w:rPr>
                <w:rFonts w:ascii="Garamond" w:eastAsia="Times New Roman" w:hAnsi="Garamond" w:cs="Times New Roman"/>
                <w:color w:val="000000"/>
                <w:sz w:val="20"/>
                <w:szCs w:val="20"/>
              </w:rPr>
              <w:t xml:space="preserve">FSM provides HE access to all four states and at least 10% of the college’s students will come from each FSM state. </w:t>
            </w:r>
          </w:p>
          <w:p w14:paraId="0639657E" w14:textId="77777777" w:rsidR="00553CA2" w:rsidRDefault="00553CA2" w:rsidP="00C148C3">
            <w:pPr>
              <w:spacing w:after="0" w:line="240" w:lineRule="auto"/>
              <w:rPr>
                <w:rFonts w:ascii="Garamond" w:eastAsia="Times New Roman" w:hAnsi="Garamond" w:cs="Times New Roman"/>
                <w:color w:val="000000"/>
                <w:sz w:val="20"/>
                <w:szCs w:val="20"/>
              </w:rPr>
            </w:pPr>
          </w:p>
          <w:p w14:paraId="6E5E1940" w14:textId="6DD0A207" w:rsidR="00553CA2" w:rsidRDefault="00553CA2" w:rsidP="00C148C3">
            <w:pPr>
              <w:spacing w:after="0" w:line="240" w:lineRule="auto"/>
              <w:rPr>
                <w:rFonts w:ascii="Garamond" w:eastAsia="Times New Roman" w:hAnsi="Garamond" w:cs="Times New Roman"/>
                <w:color w:val="000000"/>
                <w:sz w:val="20"/>
                <w:szCs w:val="20"/>
              </w:rPr>
            </w:pPr>
            <w:r>
              <w:rPr>
                <w:rFonts w:ascii="Garamond" w:eastAsia="Times New Roman" w:hAnsi="Garamond" w:cs="Times New Roman"/>
                <w:color w:val="000000"/>
                <w:sz w:val="20"/>
                <w:szCs w:val="20"/>
              </w:rPr>
              <w:t>Yellow = Direct access is provided, but less than 10% of the college’s students come from each FSM state; however college can document efforts to mitigate under-representation.</w:t>
            </w:r>
          </w:p>
          <w:p w14:paraId="64532E4C" w14:textId="77777777" w:rsidR="00553CA2" w:rsidRDefault="00553CA2" w:rsidP="00C148C3">
            <w:pPr>
              <w:spacing w:after="0" w:line="240" w:lineRule="auto"/>
              <w:rPr>
                <w:rFonts w:ascii="Garamond" w:eastAsia="Times New Roman" w:hAnsi="Garamond" w:cs="Times New Roman"/>
                <w:color w:val="000000"/>
                <w:sz w:val="20"/>
                <w:szCs w:val="20"/>
              </w:rPr>
            </w:pPr>
          </w:p>
          <w:p w14:paraId="1DE6CDB6" w14:textId="5777FF69" w:rsidR="00553CA2" w:rsidRDefault="00553CA2" w:rsidP="00C148C3">
            <w:pPr>
              <w:spacing w:after="0" w:line="240" w:lineRule="auto"/>
              <w:rPr>
                <w:rFonts w:ascii="Garamond" w:eastAsia="Times New Roman" w:hAnsi="Garamond" w:cs="Times New Roman"/>
                <w:color w:val="000000"/>
                <w:sz w:val="20"/>
                <w:szCs w:val="20"/>
              </w:rPr>
            </w:pPr>
            <w:r>
              <w:rPr>
                <w:rFonts w:ascii="Garamond" w:eastAsia="Times New Roman" w:hAnsi="Garamond" w:cs="Times New Roman"/>
                <w:color w:val="000000"/>
                <w:sz w:val="20"/>
                <w:szCs w:val="20"/>
              </w:rPr>
              <w:t xml:space="preserve">Red = Either direct access </w:t>
            </w:r>
            <w:r>
              <w:rPr>
                <w:rFonts w:ascii="Garamond" w:eastAsia="Times New Roman" w:hAnsi="Garamond" w:cs="Times New Roman"/>
                <w:color w:val="000000"/>
                <w:sz w:val="20"/>
                <w:szCs w:val="20"/>
              </w:rPr>
              <w:lastRenderedPageBreak/>
              <w:t>to all four states is not provided or there is one or more under-represented population for whom the college cannot document actions to mitigate imbalance.</w:t>
            </w:r>
          </w:p>
          <w:p w14:paraId="7414089D" w14:textId="53FC693F" w:rsidR="00553CA2" w:rsidRPr="00D3224A" w:rsidRDefault="00553CA2" w:rsidP="00C148C3">
            <w:pPr>
              <w:spacing w:after="0" w:line="240" w:lineRule="auto"/>
              <w:rPr>
                <w:rFonts w:ascii="Garamond" w:eastAsia="Times New Roman" w:hAnsi="Garamond" w:cs="Times New Roman"/>
                <w:color w:val="000000"/>
                <w:sz w:val="20"/>
                <w:szCs w:val="20"/>
              </w:rPr>
            </w:pPr>
          </w:p>
        </w:tc>
        <w:tc>
          <w:tcPr>
            <w:tcW w:w="790" w:type="pct"/>
            <w:tcBorders>
              <w:top w:val="single" w:sz="4" w:space="0" w:color="auto"/>
              <w:left w:val="nil"/>
              <w:bottom w:val="single" w:sz="4" w:space="0" w:color="auto"/>
              <w:right w:val="single" w:sz="4" w:space="0" w:color="auto"/>
            </w:tcBorders>
          </w:tcPr>
          <w:p w14:paraId="3F9B6858" w14:textId="77777777" w:rsidR="00553CA2" w:rsidRPr="00275E9A" w:rsidRDefault="00553CA2" w:rsidP="00251E1F">
            <w:pPr>
              <w:spacing w:after="0" w:line="240" w:lineRule="auto"/>
              <w:rPr>
                <w:rFonts w:ascii="Garamond" w:eastAsia="Times New Roman" w:hAnsi="Garamond" w:cs="Times New Roman"/>
                <w:color w:val="FF0000"/>
                <w:sz w:val="20"/>
                <w:szCs w:val="20"/>
              </w:rPr>
            </w:pPr>
            <w:r w:rsidRPr="00544701">
              <w:rPr>
                <w:rFonts w:ascii="Garamond" w:eastAsia="Times New Roman" w:hAnsi="Garamond" w:cs="Times New Roman"/>
                <w:color w:val="000000" w:themeColor="text1"/>
                <w:sz w:val="20"/>
                <w:szCs w:val="20"/>
              </w:rPr>
              <w:lastRenderedPageBreak/>
              <w:t>Local benchmark</w:t>
            </w:r>
          </w:p>
        </w:tc>
        <w:tc>
          <w:tcPr>
            <w:tcW w:w="789" w:type="pct"/>
            <w:tcBorders>
              <w:top w:val="single" w:sz="4" w:space="0" w:color="auto"/>
              <w:left w:val="nil"/>
              <w:bottom w:val="single" w:sz="4" w:space="0" w:color="auto"/>
              <w:right w:val="single" w:sz="4" w:space="0" w:color="auto"/>
            </w:tcBorders>
            <w:shd w:val="clear" w:color="auto" w:fill="00B050"/>
          </w:tcPr>
          <w:p w14:paraId="41F2C421" w14:textId="77777777" w:rsidR="00553CA2" w:rsidRPr="00544701" w:rsidRDefault="00553CA2" w:rsidP="00251E1F">
            <w:pPr>
              <w:spacing w:after="0" w:line="240" w:lineRule="auto"/>
              <w:rPr>
                <w:rFonts w:ascii="Garamond" w:eastAsia="Times New Roman" w:hAnsi="Garamond" w:cs="Times New Roman"/>
                <w:color w:val="000000" w:themeColor="text1"/>
                <w:sz w:val="20"/>
                <w:szCs w:val="20"/>
              </w:rPr>
            </w:pPr>
          </w:p>
        </w:tc>
      </w:tr>
      <w:tr w:rsidR="00553CA2" w:rsidRPr="00D3224A" w14:paraId="6DF99B82" w14:textId="195B0EAA" w:rsidTr="004129BF">
        <w:trPr>
          <w:trHeight w:val="719"/>
        </w:trPr>
        <w:tc>
          <w:tcPr>
            <w:tcW w:w="744" w:type="pct"/>
            <w:vMerge/>
            <w:tcBorders>
              <w:left w:val="single" w:sz="4" w:space="0" w:color="auto"/>
              <w:bottom w:val="single" w:sz="4" w:space="0" w:color="auto"/>
              <w:right w:val="nil"/>
            </w:tcBorders>
            <w:shd w:val="clear" w:color="auto" w:fill="auto"/>
            <w:vAlign w:val="bottom"/>
          </w:tcPr>
          <w:p w14:paraId="1636BEB3" w14:textId="62F756BB" w:rsidR="00553CA2" w:rsidRPr="00D3224A" w:rsidRDefault="00553CA2" w:rsidP="00251E1F">
            <w:pPr>
              <w:spacing w:after="0" w:line="240" w:lineRule="auto"/>
              <w:rPr>
                <w:rFonts w:ascii="Garamond" w:eastAsia="Times New Roman" w:hAnsi="Garamond" w:cs="Times New Roman"/>
                <w:color w:val="000000"/>
                <w:sz w:val="20"/>
                <w:szCs w:val="20"/>
              </w:rPr>
            </w:pPr>
          </w:p>
        </w:tc>
        <w:tc>
          <w:tcPr>
            <w:tcW w:w="878" w:type="pct"/>
            <w:tcBorders>
              <w:top w:val="nil"/>
              <w:left w:val="single" w:sz="4" w:space="0" w:color="auto"/>
              <w:bottom w:val="single" w:sz="4" w:space="0" w:color="auto"/>
              <w:right w:val="single" w:sz="4" w:space="0" w:color="auto"/>
            </w:tcBorders>
            <w:shd w:val="clear" w:color="auto" w:fill="auto"/>
          </w:tcPr>
          <w:p w14:paraId="4D3EA707" w14:textId="155E78A5" w:rsidR="00553CA2" w:rsidRPr="00544701" w:rsidRDefault="00553CA2" w:rsidP="00251E1F">
            <w:pPr>
              <w:spacing w:after="0" w:line="240" w:lineRule="auto"/>
              <w:rPr>
                <w:rFonts w:ascii="Garamond" w:eastAsia="Times New Roman" w:hAnsi="Garamond" w:cs="Times New Roman"/>
                <w:bCs/>
                <w:color w:val="000000" w:themeColor="text1"/>
                <w:sz w:val="20"/>
                <w:szCs w:val="20"/>
                <w:highlight w:val="cyan"/>
              </w:rPr>
            </w:pPr>
            <w:r w:rsidRPr="00544701">
              <w:rPr>
                <w:rFonts w:ascii="Garamond" w:eastAsia="Times New Roman" w:hAnsi="Garamond" w:cs="Times New Roman"/>
                <w:bCs/>
                <w:color w:val="000000" w:themeColor="text1"/>
                <w:sz w:val="20"/>
                <w:szCs w:val="20"/>
              </w:rPr>
              <w:t>Number of students annually graduating (completing programs) from career programs prepared for workforce</w:t>
            </w:r>
            <w:r>
              <w:rPr>
                <w:rFonts w:ascii="Garamond" w:eastAsia="Times New Roman" w:hAnsi="Garamond" w:cs="Times New Roman"/>
                <w:bCs/>
                <w:color w:val="000000" w:themeColor="text1"/>
                <w:sz w:val="20"/>
                <w:szCs w:val="20"/>
              </w:rPr>
              <w:t>.</w:t>
            </w:r>
          </w:p>
        </w:tc>
        <w:tc>
          <w:tcPr>
            <w:tcW w:w="981" w:type="pct"/>
            <w:tcBorders>
              <w:top w:val="nil"/>
              <w:left w:val="nil"/>
              <w:bottom w:val="single" w:sz="4" w:space="0" w:color="auto"/>
              <w:right w:val="single" w:sz="4" w:space="0" w:color="auto"/>
            </w:tcBorders>
            <w:shd w:val="clear" w:color="auto" w:fill="auto"/>
          </w:tcPr>
          <w:p w14:paraId="44E33CF3" w14:textId="77777777" w:rsidR="00553CA2" w:rsidRDefault="00553CA2" w:rsidP="00251E1F">
            <w:pPr>
              <w:spacing w:after="0" w:line="240" w:lineRule="auto"/>
              <w:rPr>
                <w:rFonts w:ascii="Garamond" w:eastAsia="Times New Roman" w:hAnsi="Garamond" w:cs="Times New Roman"/>
                <w:bCs/>
                <w:color w:val="000000"/>
                <w:sz w:val="20"/>
                <w:szCs w:val="20"/>
              </w:rPr>
            </w:pPr>
            <w:r w:rsidRPr="00D3224A">
              <w:rPr>
                <w:rFonts w:ascii="Garamond" w:eastAsia="Times New Roman" w:hAnsi="Garamond" w:cs="Times New Roman"/>
                <w:bCs/>
                <w:color w:val="000000"/>
                <w:sz w:val="20"/>
                <w:szCs w:val="20"/>
              </w:rPr>
              <w:t>CTE Graduates AY2012-13: 69                                     CTE Graduates AY2013-14: 88</w:t>
            </w:r>
          </w:p>
          <w:p w14:paraId="0AF8A148" w14:textId="77777777" w:rsidR="00553CA2" w:rsidRDefault="00553CA2" w:rsidP="00251E1F">
            <w:pPr>
              <w:spacing w:after="0" w:line="240" w:lineRule="auto"/>
              <w:rPr>
                <w:rFonts w:ascii="Garamond" w:eastAsia="Times New Roman" w:hAnsi="Garamond" w:cs="Times New Roman"/>
                <w:bCs/>
                <w:color w:val="000000"/>
                <w:sz w:val="20"/>
                <w:szCs w:val="20"/>
              </w:rPr>
            </w:pPr>
          </w:p>
          <w:p w14:paraId="123F9E26" w14:textId="77777777" w:rsidR="00D96415" w:rsidRDefault="00553CA2" w:rsidP="00251E1F">
            <w:pPr>
              <w:spacing w:after="0" w:line="240" w:lineRule="auto"/>
              <w:rPr>
                <w:rFonts w:ascii="Garamond" w:eastAsia="Times New Roman" w:hAnsi="Garamond" w:cs="Times New Roman"/>
                <w:bCs/>
                <w:color w:val="000000"/>
                <w:sz w:val="20"/>
                <w:szCs w:val="20"/>
              </w:rPr>
            </w:pPr>
            <w:r w:rsidRPr="00D3224A">
              <w:rPr>
                <w:rFonts w:ascii="Garamond" w:eastAsia="Times New Roman" w:hAnsi="Garamond" w:cs="Times New Roman"/>
                <w:bCs/>
                <w:color w:val="000000"/>
                <w:sz w:val="20"/>
                <w:szCs w:val="20"/>
              </w:rPr>
              <w:t xml:space="preserve">Teacher Preparation (AA) 2013-14: 34               </w:t>
            </w:r>
          </w:p>
          <w:p w14:paraId="33719876" w14:textId="587A450B" w:rsidR="00553CA2" w:rsidRDefault="00553CA2" w:rsidP="00251E1F">
            <w:pPr>
              <w:spacing w:after="0" w:line="240" w:lineRule="auto"/>
              <w:rPr>
                <w:rFonts w:ascii="Garamond" w:eastAsia="Times New Roman" w:hAnsi="Garamond" w:cs="Times New Roman"/>
                <w:bCs/>
                <w:color w:val="000000"/>
                <w:sz w:val="20"/>
                <w:szCs w:val="20"/>
              </w:rPr>
            </w:pPr>
            <w:r w:rsidRPr="00D3224A">
              <w:rPr>
                <w:rFonts w:ascii="Garamond" w:eastAsia="Times New Roman" w:hAnsi="Garamond" w:cs="Times New Roman"/>
                <w:bCs/>
                <w:color w:val="000000"/>
                <w:sz w:val="20"/>
                <w:szCs w:val="20"/>
              </w:rPr>
              <w:t xml:space="preserve">Teacher Preparation-Elementary (TYC) 2013-14:  8  </w:t>
            </w:r>
          </w:p>
          <w:p w14:paraId="73258882" w14:textId="77777777" w:rsidR="00553CA2" w:rsidRDefault="00553CA2" w:rsidP="00251E1F">
            <w:pPr>
              <w:spacing w:after="0" w:line="240" w:lineRule="auto"/>
              <w:rPr>
                <w:rFonts w:ascii="Garamond" w:eastAsia="Times New Roman" w:hAnsi="Garamond" w:cs="Times New Roman"/>
                <w:bCs/>
                <w:color w:val="000000"/>
                <w:sz w:val="20"/>
                <w:szCs w:val="20"/>
              </w:rPr>
            </w:pPr>
          </w:p>
          <w:p w14:paraId="6CA22B84" w14:textId="77777777" w:rsidR="00CD0949" w:rsidRDefault="00553CA2" w:rsidP="00251E1F">
            <w:pPr>
              <w:spacing w:after="0" w:line="240" w:lineRule="auto"/>
              <w:rPr>
                <w:rFonts w:ascii="Garamond" w:eastAsia="Times New Roman" w:hAnsi="Garamond" w:cs="Times New Roman"/>
                <w:bCs/>
                <w:color w:val="000000"/>
                <w:sz w:val="20"/>
                <w:szCs w:val="20"/>
              </w:rPr>
            </w:pPr>
            <w:r w:rsidRPr="00D3224A">
              <w:rPr>
                <w:rFonts w:ascii="Garamond" w:eastAsia="Times New Roman" w:hAnsi="Garamond" w:cs="Times New Roman"/>
                <w:bCs/>
                <w:color w:val="000000"/>
                <w:sz w:val="20"/>
                <w:szCs w:val="20"/>
              </w:rPr>
              <w:t xml:space="preserve">Public Health (AS) Graduates: AY 2013-14: 3 </w:t>
            </w:r>
          </w:p>
          <w:p w14:paraId="779A94C0" w14:textId="443248A5" w:rsidR="00376883" w:rsidRPr="00791303" w:rsidRDefault="00553CA2" w:rsidP="00251E1F">
            <w:pPr>
              <w:spacing w:after="0" w:line="240" w:lineRule="auto"/>
              <w:rPr>
                <w:rFonts w:ascii="Garamond" w:eastAsia="Times New Roman" w:hAnsi="Garamond" w:cs="Times New Roman"/>
                <w:bCs/>
                <w:color w:val="000000"/>
                <w:sz w:val="20"/>
                <w:szCs w:val="20"/>
              </w:rPr>
            </w:pPr>
            <w:r w:rsidRPr="00D3224A">
              <w:rPr>
                <w:rFonts w:ascii="Garamond" w:eastAsia="Times New Roman" w:hAnsi="Garamond" w:cs="Times New Roman"/>
                <w:bCs/>
                <w:color w:val="000000"/>
                <w:sz w:val="20"/>
                <w:szCs w:val="20"/>
              </w:rPr>
              <w:t xml:space="preserve">Nursing (AS) Graduates AY 2013-14: </w:t>
            </w:r>
            <w:r w:rsidR="00376883">
              <w:rPr>
                <w:rFonts w:ascii="Garamond" w:eastAsia="Times New Roman" w:hAnsi="Garamond" w:cs="Times New Roman"/>
                <w:bCs/>
                <w:color w:val="000000"/>
                <w:sz w:val="20"/>
                <w:szCs w:val="20"/>
              </w:rPr>
              <w:t>9</w:t>
            </w:r>
          </w:p>
        </w:tc>
        <w:tc>
          <w:tcPr>
            <w:tcW w:w="818" w:type="pct"/>
            <w:tcBorders>
              <w:top w:val="nil"/>
              <w:left w:val="nil"/>
              <w:bottom w:val="single" w:sz="4" w:space="0" w:color="auto"/>
              <w:right w:val="single" w:sz="4" w:space="0" w:color="auto"/>
            </w:tcBorders>
            <w:shd w:val="clear" w:color="auto" w:fill="auto"/>
          </w:tcPr>
          <w:p w14:paraId="6BA3B2E2" w14:textId="4A731F83" w:rsidR="00553CA2" w:rsidRDefault="00553CA2" w:rsidP="00251E1F">
            <w:pPr>
              <w:spacing w:after="0" w:line="240" w:lineRule="auto"/>
              <w:rPr>
                <w:rFonts w:ascii="Garamond" w:eastAsia="Times New Roman" w:hAnsi="Garamond" w:cs="Times New Roman"/>
                <w:color w:val="000000"/>
                <w:sz w:val="20"/>
                <w:szCs w:val="20"/>
              </w:rPr>
            </w:pPr>
          </w:p>
          <w:p w14:paraId="4C2B8A20" w14:textId="562FF017" w:rsidR="00553CA2" w:rsidRDefault="00B07B7B" w:rsidP="00251E1F">
            <w:pPr>
              <w:spacing w:after="0" w:line="240" w:lineRule="auto"/>
              <w:rPr>
                <w:rFonts w:ascii="Garamond" w:eastAsia="Times New Roman" w:hAnsi="Garamond" w:cs="Times New Roman"/>
                <w:color w:val="000000"/>
                <w:sz w:val="20"/>
                <w:szCs w:val="20"/>
              </w:rPr>
            </w:pPr>
            <w:r>
              <w:rPr>
                <w:rFonts w:ascii="Garamond" w:eastAsia="Times New Roman" w:hAnsi="Garamond" w:cs="Times New Roman"/>
                <w:color w:val="000000"/>
                <w:sz w:val="20"/>
                <w:szCs w:val="20"/>
              </w:rPr>
              <w:t>Green</w:t>
            </w:r>
            <w:r w:rsidR="00553CA2">
              <w:rPr>
                <w:rFonts w:ascii="Garamond" w:eastAsia="Times New Roman" w:hAnsi="Garamond" w:cs="Times New Roman"/>
                <w:color w:val="000000"/>
                <w:sz w:val="20"/>
                <w:szCs w:val="20"/>
              </w:rPr>
              <w:t xml:space="preserve"> &gt;80 (aspirational) </w:t>
            </w:r>
          </w:p>
          <w:p w14:paraId="0AC5EACF" w14:textId="77777777" w:rsidR="00553CA2" w:rsidRDefault="00553CA2" w:rsidP="00251E1F">
            <w:pPr>
              <w:spacing w:after="0" w:line="240" w:lineRule="auto"/>
              <w:rPr>
                <w:rFonts w:ascii="Garamond" w:eastAsia="Times New Roman" w:hAnsi="Garamond" w:cs="Times New Roman"/>
                <w:color w:val="000000"/>
                <w:sz w:val="20"/>
                <w:szCs w:val="20"/>
              </w:rPr>
            </w:pPr>
          </w:p>
          <w:p w14:paraId="2FB204D9" w14:textId="4D2A5241" w:rsidR="00553CA2" w:rsidRDefault="00553CA2" w:rsidP="00251E1F">
            <w:pPr>
              <w:spacing w:after="0" w:line="240" w:lineRule="auto"/>
              <w:rPr>
                <w:rFonts w:ascii="Garamond" w:eastAsia="Times New Roman" w:hAnsi="Garamond" w:cs="Times New Roman"/>
                <w:color w:val="000000"/>
                <w:sz w:val="20"/>
                <w:szCs w:val="20"/>
              </w:rPr>
            </w:pPr>
            <w:r>
              <w:rPr>
                <w:rFonts w:ascii="Garamond" w:eastAsia="Times New Roman" w:hAnsi="Garamond" w:cs="Times New Roman"/>
                <w:color w:val="000000"/>
                <w:sz w:val="20"/>
                <w:szCs w:val="20"/>
              </w:rPr>
              <w:t xml:space="preserve">Yellow </w:t>
            </w:r>
            <w:r w:rsidR="00B07B7B">
              <w:rPr>
                <w:rFonts w:ascii="Garamond" w:eastAsia="Times New Roman" w:hAnsi="Garamond" w:cs="Times New Roman"/>
                <w:color w:val="000000"/>
                <w:sz w:val="20"/>
                <w:szCs w:val="20"/>
              </w:rPr>
              <w:t>=</w:t>
            </w:r>
            <w:r>
              <w:rPr>
                <w:rFonts w:ascii="Garamond" w:eastAsia="Times New Roman" w:hAnsi="Garamond" w:cs="Times New Roman"/>
                <w:color w:val="000000"/>
                <w:sz w:val="20"/>
                <w:szCs w:val="20"/>
              </w:rPr>
              <w:t>50 - 80 (level of acceptable performance)</w:t>
            </w:r>
          </w:p>
          <w:p w14:paraId="6AEE3913" w14:textId="77777777" w:rsidR="00553CA2" w:rsidRDefault="00553CA2" w:rsidP="00251E1F">
            <w:pPr>
              <w:spacing w:after="0" w:line="240" w:lineRule="auto"/>
              <w:rPr>
                <w:rFonts w:ascii="Garamond" w:eastAsia="Times New Roman" w:hAnsi="Garamond" w:cs="Times New Roman"/>
                <w:color w:val="000000"/>
                <w:sz w:val="20"/>
                <w:szCs w:val="20"/>
              </w:rPr>
            </w:pPr>
          </w:p>
          <w:p w14:paraId="7CB3CA41" w14:textId="7D23A46D" w:rsidR="00553CA2" w:rsidRDefault="00B07B7B" w:rsidP="00251E1F">
            <w:pPr>
              <w:spacing w:after="0" w:line="240" w:lineRule="auto"/>
              <w:rPr>
                <w:rFonts w:ascii="Garamond" w:eastAsia="Times New Roman" w:hAnsi="Garamond" w:cs="Times New Roman"/>
                <w:color w:val="000000"/>
                <w:sz w:val="20"/>
                <w:szCs w:val="20"/>
              </w:rPr>
            </w:pPr>
            <w:r>
              <w:rPr>
                <w:rFonts w:ascii="Garamond" w:eastAsia="Times New Roman" w:hAnsi="Garamond" w:cs="Times New Roman"/>
                <w:color w:val="000000"/>
                <w:sz w:val="20"/>
                <w:szCs w:val="20"/>
              </w:rPr>
              <w:t xml:space="preserve">Red </w:t>
            </w:r>
            <w:r w:rsidR="00553CA2">
              <w:rPr>
                <w:rFonts w:ascii="Garamond" w:eastAsia="Times New Roman" w:hAnsi="Garamond" w:cs="Times New Roman"/>
                <w:color w:val="000000"/>
                <w:sz w:val="20"/>
                <w:szCs w:val="20"/>
              </w:rPr>
              <w:t>&lt;50 (not acceptable performance)</w:t>
            </w:r>
          </w:p>
          <w:p w14:paraId="00498875" w14:textId="6F1E48D3" w:rsidR="00553CA2" w:rsidRPr="00D3224A" w:rsidRDefault="00553CA2" w:rsidP="00251E1F">
            <w:pPr>
              <w:spacing w:after="0" w:line="240" w:lineRule="auto"/>
              <w:rPr>
                <w:rFonts w:ascii="Garamond" w:eastAsia="Times New Roman" w:hAnsi="Garamond" w:cs="Times New Roman"/>
                <w:color w:val="000000"/>
                <w:sz w:val="20"/>
                <w:szCs w:val="20"/>
              </w:rPr>
            </w:pPr>
          </w:p>
        </w:tc>
        <w:tc>
          <w:tcPr>
            <w:tcW w:w="790" w:type="pct"/>
            <w:tcBorders>
              <w:top w:val="nil"/>
              <w:left w:val="nil"/>
              <w:bottom w:val="single" w:sz="4" w:space="0" w:color="auto"/>
              <w:right w:val="single" w:sz="4" w:space="0" w:color="auto"/>
            </w:tcBorders>
          </w:tcPr>
          <w:p w14:paraId="2004A9FA" w14:textId="77777777" w:rsidR="00553CA2" w:rsidRPr="009D5369" w:rsidRDefault="00553CA2" w:rsidP="00251E1F">
            <w:pPr>
              <w:spacing w:after="0" w:line="240" w:lineRule="auto"/>
              <w:rPr>
                <w:rFonts w:ascii="Garamond" w:eastAsia="Times New Roman" w:hAnsi="Garamond" w:cs="Times New Roman"/>
                <w:color w:val="FF0000"/>
                <w:sz w:val="20"/>
                <w:szCs w:val="20"/>
              </w:rPr>
            </w:pPr>
            <w:r w:rsidRPr="00544701">
              <w:rPr>
                <w:rFonts w:ascii="Garamond" w:eastAsia="Times New Roman" w:hAnsi="Garamond" w:cs="Times New Roman"/>
                <w:color w:val="000000" w:themeColor="text1"/>
                <w:sz w:val="20"/>
                <w:szCs w:val="20"/>
              </w:rPr>
              <w:t>Local benchmark</w:t>
            </w:r>
          </w:p>
        </w:tc>
        <w:tc>
          <w:tcPr>
            <w:tcW w:w="789" w:type="pct"/>
            <w:tcBorders>
              <w:top w:val="nil"/>
              <w:left w:val="nil"/>
              <w:bottom w:val="single" w:sz="4" w:space="0" w:color="auto"/>
              <w:right w:val="single" w:sz="4" w:space="0" w:color="auto"/>
            </w:tcBorders>
            <w:shd w:val="clear" w:color="auto" w:fill="00B050"/>
          </w:tcPr>
          <w:p w14:paraId="554E6014" w14:textId="77777777" w:rsidR="00553CA2" w:rsidRPr="00544701" w:rsidRDefault="00553CA2" w:rsidP="00251E1F">
            <w:pPr>
              <w:spacing w:after="0" w:line="240" w:lineRule="auto"/>
              <w:rPr>
                <w:rFonts w:ascii="Garamond" w:eastAsia="Times New Roman" w:hAnsi="Garamond" w:cs="Times New Roman"/>
                <w:color w:val="000000" w:themeColor="text1"/>
                <w:sz w:val="20"/>
                <w:szCs w:val="20"/>
              </w:rPr>
            </w:pPr>
          </w:p>
        </w:tc>
      </w:tr>
      <w:tr w:rsidR="00553CA2" w:rsidRPr="00D3224A" w14:paraId="05D94790" w14:textId="3AC8D4AE" w:rsidTr="004129BF">
        <w:trPr>
          <w:trHeight w:val="719"/>
        </w:trPr>
        <w:tc>
          <w:tcPr>
            <w:tcW w:w="744" w:type="pct"/>
            <w:vMerge/>
            <w:tcBorders>
              <w:left w:val="single" w:sz="4" w:space="0" w:color="auto"/>
              <w:bottom w:val="single" w:sz="4" w:space="0" w:color="auto"/>
              <w:right w:val="nil"/>
            </w:tcBorders>
            <w:shd w:val="clear" w:color="auto" w:fill="auto"/>
            <w:vAlign w:val="bottom"/>
            <w:hideMark/>
          </w:tcPr>
          <w:p w14:paraId="1BCFC197" w14:textId="30EABD1E" w:rsidR="00553CA2" w:rsidRPr="00D3224A" w:rsidRDefault="00553CA2" w:rsidP="007C5C59">
            <w:pPr>
              <w:spacing w:after="0" w:line="240" w:lineRule="auto"/>
              <w:rPr>
                <w:rFonts w:ascii="Garamond" w:eastAsia="Times New Roman" w:hAnsi="Garamond" w:cs="Times New Roman"/>
                <w:color w:val="000000"/>
                <w:sz w:val="20"/>
                <w:szCs w:val="20"/>
              </w:rPr>
            </w:pPr>
          </w:p>
        </w:tc>
        <w:tc>
          <w:tcPr>
            <w:tcW w:w="878" w:type="pct"/>
            <w:tcBorders>
              <w:top w:val="nil"/>
              <w:left w:val="single" w:sz="4" w:space="0" w:color="auto"/>
              <w:bottom w:val="single" w:sz="4" w:space="0" w:color="auto"/>
              <w:right w:val="single" w:sz="4" w:space="0" w:color="auto"/>
            </w:tcBorders>
            <w:shd w:val="clear" w:color="auto" w:fill="auto"/>
          </w:tcPr>
          <w:p w14:paraId="0C427EF9" w14:textId="3D8CCA6B" w:rsidR="00553CA2" w:rsidRPr="00544701" w:rsidRDefault="00553CA2" w:rsidP="007C5C59">
            <w:pPr>
              <w:spacing w:after="0" w:line="240" w:lineRule="auto"/>
              <w:rPr>
                <w:rFonts w:ascii="Garamond" w:eastAsia="Times New Roman" w:hAnsi="Garamond" w:cs="Times New Roman"/>
                <w:bCs/>
                <w:color w:val="000000" w:themeColor="text1"/>
                <w:sz w:val="20"/>
                <w:szCs w:val="20"/>
                <w:highlight w:val="cyan"/>
              </w:rPr>
            </w:pPr>
            <w:r w:rsidRPr="00EF2FE5">
              <w:rPr>
                <w:rFonts w:ascii="Garamond" w:eastAsia="Times New Roman" w:hAnsi="Garamond" w:cs="Times New Roman"/>
                <w:bCs/>
                <w:color w:val="000000" w:themeColor="text1"/>
                <w:sz w:val="20"/>
                <w:szCs w:val="20"/>
              </w:rPr>
              <w:t>% of s</w:t>
            </w:r>
            <w:r w:rsidRPr="00544701">
              <w:rPr>
                <w:rFonts w:ascii="Garamond" w:eastAsia="Times New Roman" w:hAnsi="Garamond" w:cs="Times New Roman"/>
                <w:bCs/>
                <w:color w:val="000000" w:themeColor="text1"/>
                <w:sz w:val="20"/>
                <w:szCs w:val="20"/>
              </w:rPr>
              <w:t>tudent</w:t>
            </w:r>
            <w:r>
              <w:rPr>
                <w:rFonts w:ascii="Garamond" w:eastAsia="Times New Roman" w:hAnsi="Garamond" w:cs="Times New Roman"/>
                <w:bCs/>
                <w:color w:val="000000" w:themeColor="text1"/>
                <w:sz w:val="20"/>
                <w:szCs w:val="20"/>
              </w:rPr>
              <w:t>s that completed a career program and are employed in related field.</w:t>
            </w:r>
          </w:p>
        </w:tc>
        <w:tc>
          <w:tcPr>
            <w:tcW w:w="981" w:type="pct"/>
            <w:tcBorders>
              <w:top w:val="nil"/>
              <w:left w:val="nil"/>
              <w:bottom w:val="single" w:sz="4" w:space="0" w:color="auto"/>
              <w:right w:val="single" w:sz="4" w:space="0" w:color="auto"/>
            </w:tcBorders>
            <w:shd w:val="clear" w:color="auto" w:fill="auto"/>
            <w:hideMark/>
          </w:tcPr>
          <w:p w14:paraId="359C5ACE" w14:textId="174C988F" w:rsidR="00553CA2" w:rsidRDefault="00553CA2" w:rsidP="007A429D">
            <w:pPr>
              <w:spacing w:after="0" w:line="240" w:lineRule="auto"/>
              <w:rPr>
                <w:rFonts w:ascii="Garamond" w:eastAsia="Times New Roman" w:hAnsi="Garamond" w:cs="Times New Roman"/>
                <w:bCs/>
                <w:color w:val="000000" w:themeColor="text1"/>
                <w:sz w:val="20"/>
                <w:szCs w:val="20"/>
              </w:rPr>
            </w:pPr>
            <w:r>
              <w:rPr>
                <w:rFonts w:ascii="Garamond" w:eastAsia="Times New Roman" w:hAnsi="Garamond" w:cs="Times New Roman"/>
                <w:bCs/>
                <w:color w:val="000000" w:themeColor="text1"/>
                <w:sz w:val="20"/>
                <w:szCs w:val="20"/>
              </w:rPr>
              <w:t>61.00</w:t>
            </w:r>
            <w:r w:rsidRPr="00436345">
              <w:rPr>
                <w:rFonts w:ascii="Garamond" w:eastAsia="Times New Roman" w:hAnsi="Garamond" w:cs="Times New Roman"/>
                <w:bCs/>
                <w:color w:val="000000" w:themeColor="text1"/>
                <w:sz w:val="20"/>
                <w:szCs w:val="20"/>
              </w:rPr>
              <w:t xml:space="preserve">% of </w:t>
            </w:r>
            <w:r>
              <w:rPr>
                <w:rFonts w:ascii="Garamond" w:eastAsia="Times New Roman" w:hAnsi="Garamond" w:cs="Times New Roman"/>
                <w:bCs/>
                <w:color w:val="000000" w:themeColor="text1"/>
                <w:sz w:val="20"/>
                <w:szCs w:val="20"/>
              </w:rPr>
              <w:t>students that completed a career program and are employed in a related field</w:t>
            </w:r>
          </w:p>
          <w:p w14:paraId="1191B39F" w14:textId="77777777" w:rsidR="00553CA2" w:rsidRDefault="00553CA2" w:rsidP="007A429D">
            <w:pPr>
              <w:spacing w:after="0" w:line="240" w:lineRule="auto"/>
              <w:rPr>
                <w:rFonts w:ascii="Garamond" w:eastAsia="Times New Roman" w:hAnsi="Garamond" w:cs="Times New Roman"/>
                <w:bCs/>
                <w:color w:val="000000" w:themeColor="text1"/>
                <w:sz w:val="20"/>
                <w:szCs w:val="20"/>
              </w:rPr>
            </w:pPr>
          </w:p>
          <w:p w14:paraId="589B4635" w14:textId="77777777" w:rsidR="00553CA2" w:rsidRDefault="00553CA2" w:rsidP="007C5C59">
            <w:pPr>
              <w:spacing w:after="0" w:line="240" w:lineRule="auto"/>
              <w:rPr>
                <w:rFonts w:ascii="Garamond" w:eastAsia="Times New Roman" w:hAnsi="Garamond" w:cs="Times New Roman"/>
                <w:bCs/>
                <w:color w:val="000000" w:themeColor="text1"/>
                <w:sz w:val="20"/>
                <w:szCs w:val="20"/>
              </w:rPr>
            </w:pPr>
            <w:r w:rsidRPr="00436345">
              <w:rPr>
                <w:rFonts w:ascii="Garamond" w:eastAsia="Times New Roman" w:hAnsi="Garamond" w:cs="Times New Roman"/>
                <w:bCs/>
                <w:color w:val="000000" w:themeColor="text1"/>
                <w:sz w:val="20"/>
                <w:szCs w:val="20"/>
              </w:rPr>
              <w:t xml:space="preserve">NCCBP </w:t>
            </w:r>
            <w:r>
              <w:rPr>
                <w:rFonts w:ascii="Garamond" w:eastAsia="Times New Roman" w:hAnsi="Garamond" w:cs="Times New Roman"/>
                <w:bCs/>
                <w:color w:val="000000" w:themeColor="text1"/>
                <w:sz w:val="20"/>
                <w:szCs w:val="20"/>
              </w:rPr>
              <w:t>%</w:t>
            </w:r>
            <w:r w:rsidRPr="00436345">
              <w:rPr>
                <w:rFonts w:ascii="Garamond" w:eastAsia="Times New Roman" w:hAnsi="Garamond" w:cs="Times New Roman"/>
                <w:bCs/>
                <w:color w:val="000000" w:themeColor="text1"/>
                <w:sz w:val="20"/>
                <w:szCs w:val="20"/>
              </w:rPr>
              <w:t xml:space="preserve">Rank </w:t>
            </w:r>
            <w:r>
              <w:rPr>
                <w:rFonts w:ascii="Garamond" w:eastAsia="Times New Roman" w:hAnsi="Garamond" w:cs="Times New Roman"/>
                <w:bCs/>
                <w:color w:val="000000" w:themeColor="text1"/>
                <w:sz w:val="20"/>
                <w:szCs w:val="20"/>
              </w:rPr>
              <w:t>40%</w:t>
            </w:r>
            <w:r w:rsidRPr="00A46D59" w:rsidDel="000A4106">
              <w:rPr>
                <w:rFonts w:ascii="Garamond" w:eastAsia="Times New Roman" w:hAnsi="Garamond" w:cs="Times New Roman"/>
                <w:bCs/>
                <w:color w:val="000000" w:themeColor="text1"/>
                <w:sz w:val="20"/>
                <w:szCs w:val="20"/>
              </w:rPr>
              <w:t xml:space="preserve"> </w:t>
            </w:r>
          </w:p>
          <w:p w14:paraId="3059392C" w14:textId="77777777" w:rsidR="00553CA2" w:rsidRDefault="00553CA2" w:rsidP="007C5C59">
            <w:pPr>
              <w:spacing w:after="0" w:line="240" w:lineRule="auto"/>
              <w:rPr>
                <w:rFonts w:ascii="Garamond" w:eastAsia="Times New Roman" w:hAnsi="Garamond" w:cs="Times New Roman"/>
                <w:bCs/>
                <w:color w:val="000000" w:themeColor="text1"/>
                <w:sz w:val="20"/>
                <w:szCs w:val="20"/>
              </w:rPr>
            </w:pPr>
          </w:p>
          <w:p w14:paraId="6E0DC403" w14:textId="5D3E3EF0" w:rsidR="00553CA2" w:rsidRPr="00D3224A" w:rsidRDefault="00553CA2" w:rsidP="007C5C59">
            <w:pPr>
              <w:spacing w:after="0" w:line="240" w:lineRule="auto"/>
              <w:rPr>
                <w:rFonts w:ascii="Garamond" w:eastAsia="Times New Roman" w:hAnsi="Garamond" w:cs="Times New Roman"/>
                <w:bCs/>
                <w:color w:val="000000"/>
                <w:sz w:val="20"/>
                <w:szCs w:val="20"/>
              </w:rPr>
            </w:pPr>
            <w:r>
              <w:rPr>
                <w:rFonts w:ascii="Garamond" w:eastAsia="Times New Roman" w:hAnsi="Garamond" w:cs="Times New Roman"/>
                <w:bCs/>
                <w:color w:val="000000" w:themeColor="text1"/>
                <w:sz w:val="20"/>
                <w:szCs w:val="20"/>
              </w:rPr>
              <w:t>*acknowledging local labor market challenges</w:t>
            </w:r>
          </w:p>
        </w:tc>
        <w:tc>
          <w:tcPr>
            <w:tcW w:w="818" w:type="pct"/>
            <w:tcBorders>
              <w:top w:val="nil"/>
              <w:left w:val="nil"/>
              <w:bottom w:val="single" w:sz="4" w:space="0" w:color="auto"/>
              <w:right w:val="single" w:sz="4" w:space="0" w:color="auto"/>
            </w:tcBorders>
            <w:shd w:val="clear" w:color="auto" w:fill="auto"/>
            <w:hideMark/>
          </w:tcPr>
          <w:p w14:paraId="77B8CFF0" w14:textId="1EBD1CB2" w:rsidR="00553CA2" w:rsidRDefault="003F74DA" w:rsidP="007A429D">
            <w:pPr>
              <w:spacing w:after="0" w:line="240" w:lineRule="auto"/>
              <w:rPr>
                <w:rFonts w:ascii="Garamond" w:eastAsia="Times New Roman" w:hAnsi="Garamond" w:cs="Times New Roman"/>
                <w:bCs/>
                <w:color w:val="000000" w:themeColor="text1"/>
                <w:sz w:val="20"/>
                <w:szCs w:val="20"/>
              </w:rPr>
            </w:pPr>
            <w:r>
              <w:rPr>
                <w:rFonts w:ascii="Garamond" w:eastAsia="Times New Roman" w:hAnsi="Garamond" w:cs="Times New Roman"/>
                <w:bCs/>
                <w:color w:val="000000" w:themeColor="text1"/>
                <w:sz w:val="20"/>
                <w:szCs w:val="20"/>
              </w:rPr>
              <w:t>Percent s</w:t>
            </w:r>
            <w:r w:rsidR="00553CA2" w:rsidRPr="00436345">
              <w:rPr>
                <w:rFonts w:ascii="Garamond" w:eastAsia="Times New Roman" w:hAnsi="Garamond" w:cs="Times New Roman"/>
                <w:bCs/>
                <w:color w:val="000000" w:themeColor="text1"/>
                <w:sz w:val="20"/>
                <w:szCs w:val="20"/>
              </w:rPr>
              <w:t xml:space="preserve">tudents </w:t>
            </w:r>
            <w:r>
              <w:rPr>
                <w:rFonts w:ascii="Garamond" w:eastAsia="Times New Roman" w:hAnsi="Garamond" w:cs="Times New Roman"/>
                <w:bCs/>
                <w:color w:val="000000" w:themeColor="text1"/>
                <w:sz w:val="20"/>
                <w:szCs w:val="20"/>
              </w:rPr>
              <w:t>that completed a career program and are employed in related field:</w:t>
            </w:r>
            <w:r w:rsidR="00553CA2" w:rsidRPr="00436345">
              <w:rPr>
                <w:rFonts w:ascii="Garamond" w:eastAsia="Times New Roman" w:hAnsi="Garamond" w:cs="Times New Roman"/>
                <w:bCs/>
                <w:color w:val="000000" w:themeColor="text1"/>
                <w:sz w:val="20"/>
                <w:szCs w:val="20"/>
              </w:rPr>
              <w:t xml:space="preserve"> </w:t>
            </w:r>
          </w:p>
          <w:p w14:paraId="080E2E5D" w14:textId="1DE02A64" w:rsidR="00553CA2" w:rsidRDefault="00553CA2" w:rsidP="007A429D">
            <w:pPr>
              <w:spacing w:after="0" w:line="240" w:lineRule="auto"/>
              <w:rPr>
                <w:rFonts w:ascii="Garamond" w:eastAsia="Times New Roman" w:hAnsi="Garamond" w:cs="Times New Roman"/>
                <w:bCs/>
                <w:color w:val="000000" w:themeColor="text1"/>
                <w:sz w:val="20"/>
                <w:szCs w:val="20"/>
              </w:rPr>
            </w:pPr>
            <w:r>
              <w:rPr>
                <w:rFonts w:ascii="Garamond" w:eastAsia="Times New Roman" w:hAnsi="Garamond" w:cs="Times New Roman"/>
                <w:bCs/>
                <w:color w:val="000000" w:themeColor="text1"/>
                <w:sz w:val="20"/>
                <w:szCs w:val="20"/>
              </w:rPr>
              <w:t>Green ≥50</w:t>
            </w:r>
            <w:r w:rsidRPr="00436345">
              <w:rPr>
                <w:rFonts w:ascii="Garamond" w:eastAsia="Times New Roman" w:hAnsi="Garamond" w:cs="Times New Roman"/>
                <w:bCs/>
                <w:color w:val="000000" w:themeColor="text1"/>
                <w:sz w:val="20"/>
                <w:szCs w:val="20"/>
              </w:rPr>
              <w:t>%</w:t>
            </w:r>
          </w:p>
          <w:p w14:paraId="23156926" w14:textId="6BA2541D" w:rsidR="00553CA2" w:rsidRDefault="00553CA2" w:rsidP="007A429D">
            <w:pPr>
              <w:spacing w:after="0" w:line="240" w:lineRule="auto"/>
              <w:rPr>
                <w:rFonts w:ascii="Garamond" w:eastAsia="Times New Roman" w:hAnsi="Garamond" w:cs="Times New Roman"/>
                <w:bCs/>
                <w:color w:val="000000" w:themeColor="text1"/>
                <w:sz w:val="20"/>
                <w:szCs w:val="20"/>
              </w:rPr>
            </w:pPr>
            <w:r>
              <w:rPr>
                <w:rFonts w:ascii="Garamond" w:eastAsia="Times New Roman" w:hAnsi="Garamond" w:cs="Times New Roman"/>
                <w:bCs/>
                <w:color w:val="000000" w:themeColor="text1"/>
                <w:sz w:val="20"/>
                <w:szCs w:val="20"/>
              </w:rPr>
              <w:t xml:space="preserve">Yellow </w:t>
            </w:r>
            <w:r w:rsidR="00B07B7B">
              <w:rPr>
                <w:rFonts w:ascii="Garamond" w:eastAsia="Times New Roman" w:hAnsi="Garamond" w:cs="Times New Roman"/>
                <w:bCs/>
                <w:color w:val="000000" w:themeColor="text1"/>
                <w:sz w:val="20"/>
                <w:szCs w:val="20"/>
              </w:rPr>
              <w:t>=</w:t>
            </w:r>
            <w:r>
              <w:rPr>
                <w:rFonts w:ascii="Garamond" w:eastAsia="Times New Roman" w:hAnsi="Garamond" w:cs="Times New Roman"/>
                <w:bCs/>
                <w:color w:val="000000" w:themeColor="text1"/>
                <w:sz w:val="20"/>
                <w:szCs w:val="20"/>
              </w:rPr>
              <w:t>40-49.9%</w:t>
            </w:r>
          </w:p>
          <w:p w14:paraId="3953DF3D" w14:textId="74C91FAC" w:rsidR="00553CA2" w:rsidRPr="00D3224A" w:rsidRDefault="00553CA2" w:rsidP="007C5C59">
            <w:pPr>
              <w:spacing w:after="0" w:line="240" w:lineRule="auto"/>
              <w:rPr>
                <w:rFonts w:ascii="Garamond" w:eastAsia="Times New Roman" w:hAnsi="Garamond" w:cs="Times New Roman"/>
                <w:color w:val="000000"/>
                <w:sz w:val="20"/>
                <w:szCs w:val="20"/>
              </w:rPr>
            </w:pPr>
            <w:r>
              <w:rPr>
                <w:rFonts w:ascii="Garamond" w:eastAsia="Times New Roman" w:hAnsi="Garamond" w:cs="Times New Roman"/>
                <w:bCs/>
                <w:color w:val="000000" w:themeColor="text1"/>
                <w:sz w:val="20"/>
                <w:szCs w:val="20"/>
              </w:rPr>
              <w:t>Red &lt;40.0%</w:t>
            </w:r>
          </w:p>
        </w:tc>
        <w:tc>
          <w:tcPr>
            <w:tcW w:w="790" w:type="pct"/>
            <w:tcBorders>
              <w:top w:val="nil"/>
              <w:left w:val="nil"/>
              <w:bottom w:val="single" w:sz="4" w:space="0" w:color="auto"/>
              <w:right w:val="single" w:sz="4" w:space="0" w:color="auto"/>
            </w:tcBorders>
          </w:tcPr>
          <w:p w14:paraId="61A8051E" w14:textId="77777777" w:rsidR="00553CA2" w:rsidRPr="00275E9A" w:rsidRDefault="00553CA2" w:rsidP="007C5C59">
            <w:pPr>
              <w:spacing w:after="0" w:line="240" w:lineRule="auto"/>
              <w:rPr>
                <w:rFonts w:ascii="Garamond" w:eastAsia="Times New Roman" w:hAnsi="Garamond" w:cs="Times New Roman"/>
                <w:color w:val="FF0000"/>
                <w:sz w:val="20"/>
                <w:szCs w:val="20"/>
              </w:rPr>
            </w:pPr>
            <w:r w:rsidRPr="00544701">
              <w:rPr>
                <w:rFonts w:ascii="Garamond" w:eastAsia="Times New Roman" w:hAnsi="Garamond" w:cs="Times New Roman"/>
                <w:color w:val="000000" w:themeColor="text1"/>
                <w:sz w:val="20"/>
                <w:szCs w:val="20"/>
              </w:rPr>
              <w:t>Local benchmark</w:t>
            </w:r>
          </w:p>
        </w:tc>
        <w:tc>
          <w:tcPr>
            <w:tcW w:w="789" w:type="pct"/>
            <w:tcBorders>
              <w:top w:val="nil"/>
              <w:left w:val="nil"/>
              <w:bottom w:val="single" w:sz="4" w:space="0" w:color="auto"/>
              <w:right w:val="single" w:sz="4" w:space="0" w:color="auto"/>
            </w:tcBorders>
            <w:shd w:val="clear" w:color="auto" w:fill="00B050"/>
          </w:tcPr>
          <w:p w14:paraId="4593E2E3" w14:textId="77777777" w:rsidR="00553CA2" w:rsidRPr="00544701" w:rsidRDefault="00553CA2" w:rsidP="007C5C59">
            <w:pPr>
              <w:spacing w:after="0" w:line="240" w:lineRule="auto"/>
              <w:rPr>
                <w:rFonts w:ascii="Garamond" w:eastAsia="Times New Roman" w:hAnsi="Garamond" w:cs="Times New Roman"/>
                <w:color w:val="000000" w:themeColor="text1"/>
                <w:sz w:val="20"/>
                <w:szCs w:val="20"/>
              </w:rPr>
            </w:pPr>
          </w:p>
        </w:tc>
      </w:tr>
      <w:tr w:rsidR="00553CA2" w:rsidRPr="00D3224A" w14:paraId="42519EA3" w14:textId="557409D6" w:rsidTr="004129BF">
        <w:trPr>
          <w:trHeight w:val="611"/>
        </w:trPr>
        <w:tc>
          <w:tcPr>
            <w:tcW w:w="744" w:type="pct"/>
            <w:vMerge/>
            <w:tcBorders>
              <w:left w:val="single" w:sz="4" w:space="0" w:color="auto"/>
              <w:bottom w:val="single" w:sz="4" w:space="0" w:color="auto"/>
              <w:right w:val="nil"/>
            </w:tcBorders>
            <w:shd w:val="clear" w:color="auto" w:fill="auto"/>
            <w:vAlign w:val="bottom"/>
            <w:hideMark/>
          </w:tcPr>
          <w:p w14:paraId="11AE6F75" w14:textId="77777777" w:rsidR="00553CA2" w:rsidRPr="00D3224A" w:rsidRDefault="00553CA2" w:rsidP="007C5C59">
            <w:pPr>
              <w:spacing w:after="0" w:line="240" w:lineRule="auto"/>
              <w:rPr>
                <w:rFonts w:ascii="Garamond" w:eastAsia="Times New Roman" w:hAnsi="Garamond" w:cs="Times New Roman"/>
                <w:color w:val="000000"/>
                <w:sz w:val="20"/>
                <w:szCs w:val="20"/>
              </w:rPr>
            </w:pPr>
          </w:p>
        </w:tc>
        <w:tc>
          <w:tcPr>
            <w:tcW w:w="878" w:type="pct"/>
            <w:tcBorders>
              <w:top w:val="nil"/>
              <w:left w:val="single" w:sz="4" w:space="0" w:color="auto"/>
              <w:bottom w:val="single" w:sz="4" w:space="0" w:color="auto"/>
              <w:right w:val="single" w:sz="4" w:space="0" w:color="auto"/>
            </w:tcBorders>
            <w:shd w:val="clear" w:color="auto" w:fill="auto"/>
            <w:hideMark/>
          </w:tcPr>
          <w:p w14:paraId="6BF6A322" w14:textId="6E53BF23" w:rsidR="00553CA2" w:rsidRPr="00544701" w:rsidRDefault="00553CA2" w:rsidP="007C5C59">
            <w:pPr>
              <w:spacing w:after="0" w:line="240" w:lineRule="auto"/>
              <w:rPr>
                <w:rFonts w:ascii="Garamond" w:eastAsia="Times New Roman" w:hAnsi="Garamond" w:cs="Times New Roman"/>
                <w:bCs/>
                <w:color w:val="000000"/>
                <w:sz w:val="20"/>
                <w:szCs w:val="20"/>
              </w:rPr>
            </w:pPr>
            <w:r w:rsidRPr="00544701">
              <w:rPr>
                <w:rFonts w:ascii="Garamond" w:eastAsia="Times New Roman" w:hAnsi="Garamond" w:cs="Times New Roman"/>
                <w:bCs/>
                <w:color w:val="000000"/>
                <w:sz w:val="20"/>
                <w:szCs w:val="20"/>
              </w:rPr>
              <w:t xml:space="preserve">Programs linked to FSM developmental priorities as specified in the </w:t>
            </w:r>
            <w:hyperlink r:id="rId8" w:history="1">
              <w:r w:rsidRPr="00B756EE">
                <w:rPr>
                  <w:rStyle w:val="Hyperlink"/>
                  <w:rFonts w:ascii="Garamond" w:eastAsia="Times New Roman" w:hAnsi="Garamond" w:cs="Times New Roman"/>
                  <w:bCs/>
                  <w:sz w:val="20"/>
                  <w:szCs w:val="20"/>
                </w:rPr>
                <w:t>FSM IDP</w:t>
              </w:r>
            </w:hyperlink>
            <w:r w:rsidRPr="00544701">
              <w:rPr>
                <w:rFonts w:ascii="Garamond" w:eastAsia="Times New Roman" w:hAnsi="Garamond" w:cs="Times New Roman"/>
                <w:bCs/>
                <w:color w:val="000000"/>
                <w:sz w:val="20"/>
                <w:szCs w:val="20"/>
              </w:rPr>
              <w:t xml:space="preserve">. </w:t>
            </w:r>
          </w:p>
        </w:tc>
        <w:tc>
          <w:tcPr>
            <w:tcW w:w="981" w:type="pct"/>
            <w:tcBorders>
              <w:top w:val="nil"/>
              <w:left w:val="nil"/>
              <w:bottom w:val="single" w:sz="4" w:space="0" w:color="auto"/>
              <w:right w:val="single" w:sz="4" w:space="0" w:color="auto"/>
            </w:tcBorders>
            <w:shd w:val="clear" w:color="auto" w:fill="auto"/>
            <w:hideMark/>
          </w:tcPr>
          <w:p w14:paraId="5802A936" w14:textId="62045473" w:rsidR="00553CA2" w:rsidRDefault="00B756EE" w:rsidP="00F16A27">
            <w:pPr>
              <w:spacing w:after="0" w:line="240" w:lineRule="auto"/>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Agriculture (2), Education (2), HTM, FMI (3)</w:t>
            </w:r>
            <w:r w:rsidR="00553CA2" w:rsidRPr="00544701">
              <w:rPr>
                <w:rFonts w:ascii="Garamond" w:eastAsia="Times New Roman" w:hAnsi="Garamond" w:cs="Times New Roman"/>
                <w:bCs/>
                <w:color w:val="000000"/>
                <w:sz w:val="20"/>
                <w:szCs w:val="20"/>
              </w:rPr>
              <w:t xml:space="preserve">, </w:t>
            </w:r>
            <w:r w:rsidR="00553CA2">
              <w:rPr>
                <w:rFonts w:ascii="Garamond" w:eastAsia="Times New Roman" w:hAnsi="Garamond" w:cs="Times New Roman"/>
                <w:bCs/>
                <w:color w:val="000000"/>
                <w:sz w:val="20"/>
                <w:szCs w:val="20"/>
              </w:rPr>
              <w:t xml:space="preserve">Marine Science, </w:t>
            </w:r>
            <w:r>
              <w:rPr>
                <w:rFonts w:ascii="Garamond" w:eastAsia="Times New Roman" w:hAnsi="Garamond" w:cs="Times New Roman"/>
                <w:bCs/>
                <w:color w:val="000000"/>
                <w:sz w:val="20"/>
                <w:szCs w:val="20"/>
              </w:rPr>
              <w:t>HCOP,</w:t>
            </w:r>
            <w:r w:rsidR="00553CA2" w:rsidRPr="00544701">
              <w:rPr>
                <w:rFonts w:ascii="Garamond" w:eastAsia="Times New Roman" w:hAnsi="Garamond" w:cs="Times New Roman"/>
                <w:bCs/>
                <w:color w:val="000000"/>
                <w:sz w:val="20"/>
                <w:szCs w:val="20"/>
              </w:rPr>
              <w:t xml:space="preserve"> </w:t>
            </w:r>
            <w:r>
              <w:rPr>
                <w:rFonts w:ascii="Garamond" w:eastAsia="Times New Roman" w:hAnsi="Garamond" w:cs="Times New Roman"/>
                <w:bCs/>
                <w:color w:val="000000"/>
                <w:sz w:val="20"/>
                <w:szCs w:val="20"/>
              </w:rPr>
              <w:t xml:space="preserve">Public </w:t>
            </w:r>
            <w:r w:rsidR="00553CA2" w:rsidRPr="00544701">
              <w:rPr>
                <w:rFonts w:ascii="Garamond" w:eastAsia="Times New Roman" w:hAnsi="Garamond" w:cs="Times New Roman"/>
                <w:bCs/>
                <w:color w:val="000000"/>
                <w:sz w:val="20"/>
                <w:szCs w:val="20"/>
              </w:rPr>
              <w:t>Health</w:t>
            </w:r>
            <w:r>
              <w:rPr>
                <w:rFonts w:ascii="Garamond" w:eastAsia="Times New Roman" w:hAnsi="Garamond" w:cs="Times New Roman"/>
                <w:bCs/>
                <w:color w:val="000000"/>
                <w:sz w:val="20"/>
                <w:szCs w:val="20"/>
              </w:rPr>
              <w:t>, and Nursing.</w:t>
            </w:r>
            <w:r w:rsidR="00553CA2" w:rsidRPr="00544701">
              <w:rPr>
                <w:rFonts w:ascii="Garamond" w:eastAsia="Times New Roman" w:hAnsi="Garamond" w:cs="Times New Roman"/>
                <w:bCs/>
                <w:color w:val="000000"/>
                <w:sz w:val="20"/>
                <w:szCs w:val="20"/>
              </w:rPr>
              <w:t xml:space="preserve"> </w:t>
            </w:r>
          </w:p>
          <w:p w14:paraId="6FDD4210" w14:textId="5B28A574" w:rsidR="003F74DA" w:rsidRPr="00544701" w:rsidRDefault="003F74DA" w:rsidP="00F16A27">
            <w:pPr>
              <w:spacing w:after="0" w:line="240" w:lineRule="auto"/>
              <w:rPr>
                <w:rFonts w:ascii="Garamond" w:eastAsia="Times New Roman" w:hAnsi="Garamond" w:cs="Times New Roman"/>
                <w:bCs/>
                <w:color w:val="000000"/>
                <w:sz w:val="20"/>
                <w:szCs w:val="20"/>
              </w:rPr>
            </w:pPr>
            <w:r w:rsidRPr="00B756EE">
              <w:rPr>
                <w:rFonts w:ascii="Garamond" w:eastAsia="Times New Roman" w:hAnsi="Garamond" w:cs="Times New Roman"/>
                <w:bCs/>
                <w:color w:val="000000"/>
                <w:sz w:val="20"/>
                <w:szCs w:val="20"/>
              </w:rPr>
              <w:t>Current total:</w:t>
            </w:r>
            <w:r w:rsidR="00B756EE" w:rsidRPr="00B756EE">
              <w:rPr>
                <w:rFonts w:ascii="Garamond" w:eastAsia="Times New Roman" w:hAnsi="Garamond" w:cs="Times New Roman"/>
                <w:bCs/>
                <w:color w:val="000000"/>
                <w:sz w:val="20"/>
                <w:szCs w:val="20"/>
              </w:rPr>
              <w:t xml:space="preserve"> 12</w:t>
            </w:r>
            <w:r>
              <w:rPr>
                <w:rFonts w:ascii="Garamond" w:eastAsia="Times New Roman" w:hAnsi="Garamond" w:cs="Times New Roman"/>
                <w:bCs/>
                <w:color w:val="000000"/>
                <w:sz w:val="20"/>
                <w:szCs w:val="20"/>
              </w:rPr>
              <w:t xml:space="preserve"> </w:t>
            </w:r>
          </w:p>
        </w:tc>
        <w:tc>
          <w:tcPr>
            <w:tcW w:w="818" w:type="pct"/>
            <w:tcBorders>
              <w:top w:val="nil"/>
              <w:left w:val="nil"/>
              <w:bottom w:val="single" w:sz="4" w:space="0" w:color="auto"/>
              <w:right w:val="single" w:sz="4" w:space="0" w:color="auto"/>
            </w:tcBorders>
            <w:shd w:val="clear" w:color="auto" w:fill="auto"/>
            <w:hideMark/>
          </w:tcPr>
          <w:p w14:paraId="4CE2F5BF" w14:textId="13C575A5" w:rsidR="00553CA2" w:rsidRDefault="00553CA2" w:rsidP="007C5C59">
            <w:pPr>
              <w:spacing w:after="0" w:line="240" w:lineRule="auto"/>
              <w:rPr>
                <w:rFonts w:ascii="Garamond" w:eastAsia="Times New Roman" w:hAnsi="Garamond" w:cs="Times New Roman"/>
                <w:color w:val="000000"/>
                <w:sz w:val="20"/>
                <w:szCs w:val="20"/>
              </w:rPr>
            </w:pPr>
            <w:r>
              <w:rPr>
                <w:rFonts w:ascii="Garamond" w:eastAsia="Times New Roman" w:hAnsi="Garamond" w:cs="Times New Roman"/>
                <w:color w:val="000000"/>
                <w:sz w:val="20"/>
                <w:szCs w:val="20"/>
              </w:rPr>
              <w:t>Green = 5 or more programs linked to the FSM IDP</w:t>
            </w:r>
          </w:p>
          <w:p w14:paraId="47EB81CB" w14:textId="77777777" w:rsidR="00553CA2" w:rsidRDefault="00553CA2" w:rsidP="007C5C59">
            <w:pPr>
              <w:spacing w:after="0" w:line="240" w:lineRule="auto"/>
              <w:rPr>
                <w:rFonts w:ascii="Garamond" w:eastAsia="Times New Roman" w:hAnsi="Garamond" w:cs="Times New Roman"/>
                <w:color w:val="000000"/>
                <w:sz w:val="20"/>
                <w:szCs w:val="20"/>
              </w:rPr>
            </w:pPr>
          </w:p>
          <w:p w14:paraId="7FC4A986" w14:textId="0BDA58C0" w:rsidR="00553CA2" w:rsidRDefault="00553CA2" w:rsidP="007C5C59">
            <w:pPr>
              <w:spacing w:after="0" w:line="240" w:lineRule="auto"/>
              <w:rPr>
                <w:rFonts w:ascii="Garamond" w:eastAsia="Times New Roman" w:hAnsi="Garamond" w:cs="Times New Roman"/>
                <w:color w:val="000000"/>
                <w:sz w:val="20"/>
                <w:szCs w:val="20"/>
              </w:rPr>
            </w:pPr>
            <w:r>
              <w:rPr>
                <w:rFonts w:ascii="Garamond" w:eastAsia="Times New Roman" w:hAnsi="Garamond" w:cs="Times New Roman"/>
                <w:color w:val="000000"/>
                <w:sz w:val="20"/>
                <w:szCs w:val="20"/>
              </w:rPr>
              <w:t>Yellow = 3-4 programs linked to the FSM IDP</w:t>
            </w:r>
          </w:p>
          <w:p w14:paraId="683AED34" w14:textId="77777777" w:rsidR="00553CA2" w:rsidRDefault="00553CA2" w:rsidP="007C5C59">
            <w:pPr>
              <w:spacing w:after="0" w:line="240" w:lineRule="auto"/>
              <w:rPr>
                <w:rFonts w:ascii="Garamond" w:eastAsia="Times New Roman" w:hAnsi="Garamond" w:cs="Times New Roman"/>
                <w:color w:val="000000"/>
                <w:sz w:val="20"/>
                <w:szCs w:val="20"/>
              </w:rPr>
            </w:pPr>
          </w:p>
          <w:p w14:paraId="0DCE5CF2" w14:textId="39E36D6E" w:rsidR="00553CA2" w:rsidRDefault="00B07B7B" w:rsidP="007C5C59">
            <w:pPr>
              <w:spacing w:after="0" w:line="240" w:lineRule="auto"/>
            </w:pPr>
            <w:r>
              <w:rPr>
                <w:rFonts w:ascii="Garamond" w:eastAsia="Times New Roman" w:hAnsi="Garamond" w:cs="Times New Roman"/>
                <w:color w:val="000000"/>
                <w:sz w:val="20"/>
                <w:szCs w:val="20"/>
              </w:rPr>
              <w:t>Red &lt;</w:t>
            </w:r>
            <w:r w:rsidR="00553CA2">
              <w:rPr>
                <w:rFonts w:ascii="Garamond" w:eastAsia="Times New Roman" w:hAnsi="Garamond" w:cs="Times New Roman"/>
                <w:color w:val="000000"/>
                <w:sz w:val="20"/>
                <w:szCs w:val="20"/>
              </w:rPr>
              <w:t>3 programs linked to FSM IDP.</w:t>
            </w:r>
          </w:p>
          <w:p w14:paraId="163C639D" w14:textId="54A04F70" w:rsidR="00553CA2" w:rsidRPr="002059E6" w:rsidRDefault="00553CA2" w:rsidP="007C5C59">
            <w:pPr>
              <w:spacing w:after="0" w:line="240" w:lineRule="auto"/>
              <w:rPr>
                <w:rFonts w:ascii="Garamond" w:eastAsia="Times New Roman" w:hAnsi="Garamond" w:cs="Times New Roman"/>
                <w:color w:val="000000"/>
                <w:sz w:val="20"/>
                <w:szCs w:val="20"/>
                <w:highlight w:val="yellow"/>
              </w:rPr>
            </w:pPr>
          </w:p>
        </w:tc>
        <w:tc>
          <w:tcPr>
            <w:tcW w:w="790" w:type="pct"/>
            <w:tcBorders>
              <w:top w:val="nil"/>
              <w:left w:val="nil"/>
              <w:bottom w:val="single" w:sz="4" w:space="0" w:color="auto"/>
              <w:right w:val="single" w:sz="4" w:space="0" w:color="auto"/>
            </w:tcBorders>
          </w:tcPr>
          <w:p w14:paraId="25C644FF" w14:textId="77777777" w:rsidR="00553CA2" w:rsidRPr="00275E9A" w:rsidRDefault="00553CA2" w:rsidP="007C5C59">
            <w:pPr>
              <w:spacing w:after="0" w:line="240" w:lineRule="auto"/>
              <w:rPr>
                <w:rFonts w:ascii="Garamond" w:eastAsia="Times New Roman" w:hAnsi="Garamond" w:cs="Times New Roman"/>
                <w:color w:val="FF0000"/>
                <w:sz w:val="20"/>
                <w:szCs w:val="20"/>
                <w:highlight w:val="yellow"/>
              </w:rPr>
            </w:pPr>
            <w:r w:rsidRPr="00544701">
              <w:rPr>
                <w:rFonts w:ascii="Garamond" w:eastAsia="Times New Roman" w:hAnsi="Garamond" w:cs="Times New Roman"/>
                <w:color w:val="000000" w:themeColor="text1"/>
                <w:sz w:val="20"/>
                <w:szCs w:val="20"/>
              </w:rPr>
              <w:t>Local benchmark</w:t>
            </w:r>
          </w:p>
        </w:tc>
        <w:tc>
          <w:tcPr>
            <w:tcW w:w="789" w:type="pct"/>
            <w:tcBorders>
              <w:top w:val="nil"/>
              <w:left w:val="nil"/>
              <w:bottom w:val="single" w:sz="4" w:space="0" w:color="auto"/>
              <w:right w:val="single" w:sz="4" w:space="0" w:color="auto"/>
            </w:tcBorders>
            <w:shd w:val="clear" w:color="auto" w:fill="00B050"/>
          </w:tcPr>
          <w:p w14:paraId="5FAA3BBE" w14:textId="77777777" w:rsidR="00553CA2" w:rsidRPr="00544701" w:rsidRDefault="00553CA2" w:rsidP="007C5C59">
            <w:pPr>
              <w:spacing w:after="0" w:line="240" w:lineRule="auto"/>
              <w:rPr>
                <w:rFonts w:ascii="Garamond" w:eastAsia="Times New Roman" w:hAnsi="Garamond" w:cs="Times New Roman"/>
                <w:color w:val="000000" w:themeColor="text1"/>
                <w:sz w:val="20"/>
                <w:szCs w:val="20"/>
              </w:rPr>
            </w:pPr>
          </w:p>
        </w:tc>
      </w:tr>
      <w:tr w:rsidR="00553CA2" w:rsidRPr="00D3224A" w14:paraId="263CE3CA" w14:textId="20C2E289" w:rsidTr="00553CA2">
        <w:trPr>
          <w:trHeight w:val="341"/>
        </w:trPr>
        <w:tc>
          <w:tcPr>
            <w:tcW w:w="4211" w:type="pct"/>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5C8CF26B" w14:textId="40D06EEE" w:rsidR="00553CA2" w:rsidRPr="009D5369" w:rsidRDefault="00553CA2" w:rsidP="007C5C59">
            <w:pPr>
              <w:spacing w:after="0" w:line="240" w:lineRule="auto"/>
              <w:rPr>
                <w:rFonts w:ascii="Garamond" w:eastAsia="Times New Roman" w:hAnsi="Garamond" w:cs="Times New Roman"/>
                <w:color w:val="FF0000"/>
                <w:sz w:val="20"/>
                <w:szCs w:val="20"/>
              </w:rPr>
            </w:pPr>
          </w:p>
        </w:tc>
        <w:tc>
          <w:tcPr>
            <w:tcW w:w="78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795491" w14:textId="77777777" w:rsidR="00553CA2" w:rsidRPr="009D5369" w:rsidRDefault="00553CA2" w:rsidP="007C5C59">
            <w:pPr>
              <w:spacing w:after="0" w:line="240" w:lineRule="auto"/>
              <w:rPr>
                <w:rFonts w:ascii="Garamond" w:eastAsia="Times New Roman" w:hAnsi="Garamond" w:cs="Times New Roman"/>
                <w:color w:val="FF0000"/>
                <w:sz w:val="20"/>
                <w:szCs w:val="20"/>
              </w:rPr>
            </w:pPr>
          </w:p>
        </w:tc>
      </w:tr>
      <w:tr w:rsidR="00553CA2" w:rsidRPr="00D3224A" w14:paraId="3B5AD340" w14:textId="1CAE44BA" w:rsidTr="004129BF">
        <w:trPr>
          <w:trHeight w:val="485"/>
        </w:trPr>
        <w:tc>
          <w:tcPr>
            <w:tcW w:w="744" w:type="pct"/>
            <w:vMerge w:val="restart"/>
            <w:tcBorders>
              <w:top w:val="single" w:sz="4" w:space="0" w:color="auto"/>
              <w:left w:val="single" w:sz="4" w:space="0" w:color="auto"/>
              <w:bottom w:val="single" w:sz="4" w:space="0" w:color="auto"/>
              <w:right w:val="nil"/>
            </w:tcBorders>
            <w:shd w:val="clear" w:color="auto" w:fill="auto"/>
            <w:hideMark/>
          </w:tcPr>
          <w:p w14:paraId="503FAF4D" w14:textId="77777777" w:rsidR="00553CA2" w:rsidRPr="00D3224A" w:rsidRDefault="00553CA2" w:rsidP="00D5622C">
            <w:pPr>
              <w:spacing w:after="0" w:line="240" w:lineRule="auto"/>
              <w:rPr>
                <w:rFonts w:ascii="Garamond" w:eastAsia="Times New Roman" w:hAnsi="Garamond" w:cs="Times New Roman"/>
                <w:b/>
                <w:bCs/>
                <w:color w:val="000000"/>
                <w:sz w:val="20"/>
                <w:szCs w:val="20"/>
              </w:rPr>
            </w:pPr>
            <w:r w:rsidRPr="00D3224A">
              <w:rPr>
                <w:rFonts w:ascii="Garamond" w:eastAsia="Times New Roman" w:hAnsi="Garamond" w:cs="Times New Roman"/>
                <w:b/>
                <w:bCs/>
                <w:color w:val="000000"/>
                <w:sz w:val="20"/>
                <w:szCs w:val="20"/>
              </w:rPr>
              <w:t xml:space="preserve">by providing academic, career and technical educational programs characterized by continuous </w:t>
            </w:r>
            <w:r w:rsidRPr="00D3224A">
              <w:rPr>
                <w:rFonts w:ascii="Garamond" w:eastAsia="Times New Roman" w:hAnsi="Garamond" w:cs="Times New Roman"/>
                <w:b/>
                <w:bCs/>
                <w:color w:val="000000"/>
                <w:sz w:val="20"/>
                <w:szCs w:val="20"/>
              </w:rPr>
              <w:lastRenderedPageBreak/>
              <w:t>improvement and best practices.</w:t>
            </w: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3634FFE1" w14:textId="25146BC8" w:rsidR="00553CA2" w:rsidRPr="00544701" w:rsidRDefault="00553CA2" w:rsidP="00D5622C">
            <w:pPr>
              <w:spacing w:after="0" w:line="240" w:lineRule="auto"/>
              <w:rPr>
                <w:rFonts w:ascii="Garamond" w:eastAsia="Times New Roman" w:hAnsi="Garamond" w:cs="Times New Roman"/>
                <w:bCs/>
                <w:color w:val="000000" w:themeColor="text1"/>
                <w:sz w:val="20"/>
                <w:szCs w:val="20"/>
              </w:rPr>
            </w:pPr>
            <w:r w:rsidRPr="00544701">
              <w:rPr>
                <w:rFonts w:ascii="Garamond" w:eastAsia="Times New Roman" w:hAnsi="Garamond" w:cs="Times New Roman"/>
                <w:bCs/>
                <w:color w:val="000000" w:themeColor="text1"/>
                <w:sz w:val="20"/>
                <w:szCs w:val="20"/>
              </w:rPr>
              <w:lastRenderedPageBreak/>
              <w:t>Active and collaborative learning benchmark (CCSSE 2014)</w:t>
            </w:r>
          </w:p>
        </w:tc>
        <w:tc>
          <w:tcPr>
            <w:tcW w:w="981" w:type="pct"/>
            <w:tcBorders>
              <w:top w:val="single" w:sz="4" w:space="0" w:color="auto"/>
              <w:left w:val="nil"/>
              <w:bottom w:val="single" w:sz="4" w:space="0" w:color="auto"/>
              <w:right w:val="single" w:sz="4" w:space="0" w:color="auto"/>
            </w:tcBorders>
            <w:shd w:val="clear" w:color="auto" w:fill="auto"/>
          </w:tcPr>
          <w:p w14:paraId="2A492B96" w14:textId="2AC25E24" w:rsidR="00553CA2" w:rsidRPr="00544701" w:rsidRDefault="00553CA2" w:rsidP="00D5622C">
            <w:pPr>
              <w:spacing w:after="0" w:line="240" w:lineRule="auto"/>
              <w:rPr>
                <w:rFonts w:ascii="Garamond" w:eastAsia="Times New Roman" w:hAnsi="Garamond" w:cs="Times New Roman"/>
                <w:bCs/>
                <w:color w:val="000000" w:themeColor="text1"/>
                <w:sz w:val="20"/>
                <w:szCs w:val="20"/>
              </w:rPr>
            </w:pPr>
            <w:r w:rsidRPr="00544701">
              <w:rPr>
                <w:rFonts w:ascii="Garamond" w:eastAsia="Times New Roman" w:hAnsi="Garamond" w:cs="Times New Roman"/>
                <w:bCs/>
                <w:color w:val="000000" w:themeColor="text1"/>
                <w:sz w:val="20"/>
                <w:szCs w:val="20"/>
              </w:rPr>
              <w:t>CCSSE Benchmark Score 64.0</w:t>
            </w:r>
          </w:p>
        </w:tc>
        <w:tc>
          <w:tcPr>
            <w:tcW w:w="818" w:type="pct"/>
            <w:tcBorders>
              <w:top w:val="single" w:sz="4" w:space="0" w:color="auto"/>
              <w:left w:val="nil"/>
              <w:bottom w:val="single" w:sz="4" w:space="0" w:color="auto"/>
              <w:right w:val="single" w:sz="4" w:space="0" w:color="auto"/>
            </w:tcBorders>
            <w:shd w:val="clear" w:color="auto" w:fill="auto"/>
          </w:tcPr>
          <w:p w14:paraId="0B30340F" w14:textId="18326B76" w:rsidR="00553CA2" w:rsidRDefault="00553CA2" w:rsidP="00D5622C">
            <w:pPr>
              <w:spacing w:after="0" w:line="240" w:lineRule="auto"/>
              <w:rPr>
                <w:rFonts w:ascii="Garamond" w:eastAsia="Times New Roman" w:hAnsi="Garamond" w:cs="Times New Roman"/>
                <w:bCs/>
                <w:color w:val="000000" w:themeColor="text1"/>
                <w:sz w:val="20"/>
                <w:szCs w:val="20"/>
              </w:rPr>
            </w:pPr>
            <w:r w:rsidRPr="00544701">
              <w:rPr>
                <w:rFonts w:ascii="Garamond" w:eastAsia="Times New Roman" w:hAnsi="Garamond" w:cs="Times New Roman"/>
                <w:bCs/>
                <w:color w:val="000000" w:themeColor="text1"/>
                <w:sz w:val="20"/>
                <w:szCs w:val="20"/>
              </w:rPr>
              <w:t>CCSSE Benchmark Score</w:t>
            </w:r>
            <w:r>
              <w:rPr>
                <w:rFonts w:ascii="Garamond" w:eastAsia="Times New Roman" w:hAnsi="Garamond" w:cs="Times New Roman"/>
                <w:bCs/>
                <w:color w:val="000000" w:themeColor="text1"/>
                <w:sz w:val="20"/>
                <w:szCs w:val="20"/>
              </w:rPr>
              <w:t>:</w:t>
            </w:r>
          </w:p>
          <w:p w14:paraId="086B6567" w14:textId="0763E634" w:rsidR="00553CA2" w:rsidRDefault="00553CA2" w:rsidP="005514E0">
            <w:pPr>
              <w:spacing w:after="0" w:line="240" w:lineRule="auto"/>
              <w:rPr>
                <w:rFonts w:ascii="Garamond" w:eastAsia="Times New Roman" w:hAnsi="Garamond" w:cs="Times New Roman"/>
                <w:bCs/>
                <w:color w:val="000000" w:themeColor="text1"/>
                <w:sz w:val="20"/>
                <w:szCs w:val="20"/>
              </w:rPr>
            </w:pPr>
            <w:r>
              <w:rPr>
                <w:rFonts w:ascii="Garamond" w:eastAsia="Times New Roman" w:hAnsi="Garamond" w:cs="Times New Roman"/>
                <w:bCs/>
                <w:color w:val="000000" w:themeColor="text1"/>
                <w:sz w:val="20"/>
                <w:szCs w:val="20"/>
              </w:rPr>
              <w:t>Green ≥50.0</w:t>
            </w:r>
            <w:r w:rsidRPr="00436345">
              <w:rPr>
                <w:rFonts w:ascii="Garamond" w:eastAsia="Times New Roman" w:hAnsi="Garamond" w:cs="Times New Roman"/>
                <w:bCs/>
                <w:color w:val="000000" w:themeColor="text1"/>
                <w:sz w:val="20"/>
                <w:szCs w:val="20"/>
              </w:rPr>
              <w:t>%</w:t>
            </w:r>
          </w:p>
          <w:p w14:paraId="1B1DC86F" w14:textId="4D81C7D5" w:rsidR="00553CA2" w:rsidRDefault="00553CA2" w:rsidP="005514E0">
            <w:pPr>
              <w:spacing w:after="0" w:line="240" w:lineRule="auto"/>
              <w:rPr>
                <w:rFonts w:ascii="Garamond" w:eastAsia="Times New Roman" w:hAnsi="Garamond" w:cs="Times New Roman"/>
                <w:bCs/>
                <w:color w:val="000000" w:themeColor="text1"/>
                <w:sz w:val="20"/>
                <w:szCs w:val="20"/>
              </w:rPr>
            </w:pPr>
            <w:r>
              <w:rPr>
                <w:rFonts w:ascii="Garamond" w:eastAsia="Times New Roman" w:hAnsi="Garamond" w:cs="Times New Roman"/>
                <w:bCs/>
                <w:color w:val="000000" w:themeColor="text1"/>
                <w:sz w:val="20"/>
                <w:szCs w:val="20"/>
              </w:rPr>
              <w:t xml:space="preserve">Yellow </w:t>
            </w:r>
            <w:r w:rsidR="00B07B7B">
              <w:rPr>
                <w:rFonts w:ascii="Garamond" w:eastAsia="Times New Roman" w:hAnsi="Garamond" w:cs="Times New Roman"/>
                <w:bCs/>
                <w:color w:val="000000" w:themeColor="text1"/>
                <w:sz w:val="20"/>
                <w:szCs w:val="20"/>
              </w:rPr>
              <w:t>=</w:t>
            </w:r>
            <w:r>
              <w:rPr>
                <w:rFonts w:ascii="Garamond" w:eastAsia="Times New Roman" w:hAnsi="Garamond" w:cs="Times New Roman"/>
                <w:bCs/>
                <w:color w:val="000000" w:themeColor="text1"/>
                <w:sz w:val="20"/>
                <w:szCs w:val="20"/>
              </w:rPr>
              <w:t>47.0-49.9%</w:t>
            </w:r>
          </w:p>
          <w:p w14:paraId="20690B5E" w14:textId="77777777" w:rsidR="00553CA2" w:rsidRDefault="00553CA2" w:rsidP="005514E0">
            <w:pPr>
              <w:spacing w:after="0" w:line="240" w:lineRule="auto"/>
              <w:rPr>
                <w:rFonts w:ascii="Garamond" w:eastAsia="Times New Roman" w:hAnsi="Garamond" w:cs="Times New Roman"/>
                <w:bCs/>
                <w:color w:val="000000" w:themeColor="text1"/>
                <w:sz w:val="20"/>
                <w:szCs w:val="20"/>
              </w:rPr>
            </w:pPr>
            <w:r>
              <w:rPr>
                <w:rFonts w:ascii="Garamond" w:eastAsia="Times New Roman" w:hAnsi="Garamond" w:cs="Times New Roman"/>
                <w:bCs/>
                <w:color w:val="000000" w:themeColor="text1"/>
                <w:sz w:val="20"/>
                <w:szCs w:val="20"/>
              </w:rPr>
              <w:t>Red &lt;47.0</w:t>
            </w:r>
          </w:p>
          <w:p w14:paraId="028A7634" w14:textId="00E305FA" w:rsidR="00553CA2" w:rsidRPr="00544701" w:rsidRDefault="00553CA2" w:rsidP="005514E0">
            <w:pPr>
              <w:spacing w:after="0" w:line="240" w:lineRule="auto"/>
              <w:rPr>
                <w:rFonts w:ascii="Garamond" w:eastAsia="Times New Roman" w:hAnsi="Garamond" w:cs="Times New Roman"/>
                <w:color w:val="000000" w:themeColor="text1"/>
                <w:sz w:val="20"/>
                <w:szCs w:val="20"/>
              </w:rPr>
            </w:pPr>
          </w:p>
        </w:tc>
        <w:tc>
          <w:tcPr>
            <w:tcW w:w="790" w:type="pct"/>
            <w:tcBorders>
              <w:top w:val="single" w:sz="4" w:space="0" w:color="auto"/>
              <w:left w:val="nil"/>
              <w:bottom w:val="single" w:sz="4" w:space="0" w:color="auto"/>
              <w:right w:val="single" w:sz="4" w:space="0" w:color="auto"/>
            </w:tcBorders>
          </w:tcPr>
          <w:p w14:paraId="14E54A29" w14:textId="60BE6237" w:rsidR="00553CA2" w:rsidRPr="00544701" w:rsidRDefault="00553CA2" w:rsidP="00D5622C">
            <w:pPr>
              <w:spacing w:after="0" w:line="240" w:lineRule="auto"/>
              <w:rPr>
                <w:rFonts w:ascii="Garamond" w:eastAsia="Times New Roman" w:hAnsi="Garamond" w:cs="Times New Roman"/>
                <w:color w:val="000000" w:themeColor="text1"/>
                <w:sz w:val="20"/>
                <w:szCs w:val="20"/>
              </w:rPr>
            </w:pPr>
            <w:r w:rsidRPr="00544701">
              <w:rPr>
                <w:rFonts w:ascii="Garamond" w:eastAsia="Times New Roman" w:hAnsi="Garamond" w:cs="Times New Roman"/>
                <w:bCs/>
                <w:color w:val="000000" w:themeColor="text1"/>
                <w:sz w:val="20"/>
                <w:szCs w:val="20"/>
              </w:rPr>
              <w:t>National benchmark</w:t>
            </w:r>
          </w:p>
        </w:tc>
        <w:tc>
          <w:tcPr>
            <w:tcW w:w="789" w:type="pct"/>
            <w:tcBorders>
              <w:top w:val="single" w:sz="4" w:space="0" w:color="auto"/>
              <w:left w:val="nil"/>
              <w:bottom w:val="single" w:sz="4" w:space="0" w:color="auto"/>
              <w:right w:val="single" w:sz="4" w:space="0" w:color="auto"/>
            </w:tcBorders>
            <w:shd w:val="clear" w:color="auto" w:fill="00B050"/>
          </w:tcPr>
          <w:p w14:paraId="648F4565" w14:textId="77777777" w:rsidR="00553CA2" w:rsidRPr="00544701" w:rsidRDefault="00553CA2" w:rsidP="00D5622C">
            <w:pPr>
              <w:spacing w:after="0" w:line="240" w:lineRule="auto"/>
              <w:rPr>
                <w:rFonts w:ascii="Garamond" w:eastAsia="Times New Roman" w:hAnsi="Garamond" w:cs="Times New Roman"/>
                <w:bCs/>
                <w:color w:val="000000" w:themeColor="text1"/>
                <w:sz w:val="20"/>
                <w:szCs w:val="20"/>
              </w:rPr>
            </w:pPr>
          </w:p>
        </w:tc>
      </w:tr>
      <w:tr w:rsidR="00553CA2" w:rsidRPr="00D3224A" w14:paraId="44BFB1A7" w14:textId="67662BE0" w:rsidTr="004129BF">
        <w:trPr>
          <w:trHeight w:val="1464"/>
        </w:trPr>
        <w:tc>
          <w:tcPr>
            <w:tcW w:w="744" w:type="pct"/>
            <w:vMerge/>
            <w:tcBorders>
              <w:left w:val="single" w:sz="4" w:space="0" w:color="auto"/>
              <w:bottom w:val="single" w:sz="4" w:space="0" w:color="auto"/>
              <w:right w:val="nil"/>
            </w:tcBorders>
            <w:shd w:val="clear" w:color="auto" w:fill="auto"/>
          </w:tcPr>
          <w:p w14:paraId="3D0BD24E" w14:textId="5349CEE8" w:rsidR="00553CA2" w:rsidRPr="00D3224A" w:rsidRDefault="00553CA2" w:rsidP="00FB7D63">
            <w:pPr>
              <w:spacing w:after="0" w:line="240" w:lineRule="auto"/>
              <w:rPr>
                <w:rFonts w:ascii="Garamond" w:eastAsia="Times New Roman" w:hAnsi="Garamond" w:cs="Times New Roman"/>
                <w:b/>
                <w:bCs/>
                <w:color w:val="000000"/>
                <w:sz w:val="20"/>
                <w:szCs w:val="20"/>
              </w:rPr>
            </w:pPr>
          </w:p>
        </w:tc>
        <w:tc>
          <w:tcPr>
            <w:tcW w:w="878" w:type="pct"/>
            <w:vMerge w:val="restart"/>
            <w:tcBorders>
              <w:top w:val="nil"/>
              <w:left w:val="single" w:sz="4" w:space="0" w:color="auto"/>
              <w:right w:val="single" w:sz="4" w:space="0" w:color="auto"/>
            </w:tcBorders>
            <w:shd w:val="clear" w:color="auto" w:fill="auto"/>
          </w:tcPr>
          <w:p w14:paraId="5EAC7403" w14:textId="77777777" w:rsidR="00553CA2" w:rsidRDefault="00553CA2" w:rsidP="00E91E0B">
            <w:pPr>
              <w:spacing w:after="0" w:line="240" w:lineRule="auto"/>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Academic programs and support services will create structured and coherent guided pathways to student end goals, with built-in progress monitoring, feedback, and ongoing support at each step along the pathway with the outcome to increase graduation and transfer rates.</w:t>
            </w:r>
          </w:p>
          <w:p w14:paraId="18EB8B4E" w14:textId="77777777" w:rsidR="00553CA2" w:rsidRDefault="00553CA2" w:rsidP="00E91E0B">
            <w:pPr>
              <w:spacing w:after="0" w:line="240" w:lineRule="auto"/>
              <w:rPr>
                <w:rFonts w:ascii="Garamond" w:eastAsia="Times New Roman" w:hAnsi="Garamond" w:cs="Times New Roman"/>
                <w:bCs/>
                <w:color w:val="000000"/>
                <w:sz w:val="20"/>
                <w:szCs w:val="20"/>
              </w:rPr>
            </w:pPr>
          </w:p>
          <w:p w14:paraId="1F4BFE9D" w14:textId="77777777" w:rsidR="00553CA2" w:rsidRDefault="00553CA2" w:rsidP="00E91E0B">
            <w:pPr>
              <w:spacing w:after="0" w:line="240" w:lineRule="auto"/>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Measures:</w:t>
            </w:r>
          </w:p>
          <w:p w14:paraId="0818A7A0" w14:textId="77777777" w:rsidR="00553CA2" w:rsidRDefault="00553CA2" w:rsidP="00E91E0B">
            <w:pPr>
              <w:spacing w:after="0" w:line="240" w:lineRule="auto"/>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Guided Pathways</w:t>
            </w:r>
          </w:p>
          <w:p w14:paraId="12A24869" w14:textId="77777777" w:rsidR="00553CA2" w:rsidRDefault="00553CA2" w:rsidP="00E91E0B">
            <w:pPr>
              <w:spacing w:after="0" w:line="240" w:lineRule="auto"/>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Graduation Rates</w:t>
            </w:r>
          </w:p>
          <w:p w14:paraId="098FC053" w14:textId="57A7A7DC" w:rsidR="00553CA2" w:rsidRPr="00D3224A" w:rsidRDefault="00553CA2" w:rsidP="00E91E0B">
            <w:pPr>
              <w:spacing w:after="0" w:line="240" w:lineRule="auto"/>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Transfer Rates</w:t>
            </w:r>
          </w:p>
        </w:tc>
        <w:tc>
          <w:tcPr>
            <w:tcW w:w="981" w:type="pct"/>
            <w:tcBorders>
              <w:top w:val="nil"/>
              <w:left w:val="nil"/>
              <w:bottom w:val="single" w:sz="4" w:space="0" w:color="auto"/>
              <w:right w:val="single" w:sz="4" w:space="0" w:color="auto"/>
            </w:tcBorders>
            <w:shd w:val="clear" w:color="auto" w:fill="auto"/>
          </w:tcPr>
          <w:p w14:paraId="41603FA3" w14:textId="49437F7F" w:rsidR="00B756EE" w:rsidRDefault="00553CA2" w:rsidP="00372252">
            <w:pPr>
              <w:spacing w:after="0" w:line="240" w:lineRule="auto"/>
              <w:rPr>
                <w:rFonts w:ascii="Garamond" w:hAnsi="Garamond"/>
                <w:sz w:val="20"/>
                <w:szCs w:val="20"/>
              </w:rPr>
            </w:pPr>
            <w:r>
              <w:rPr>
                <w:rFonts w:ascii="Garamond" w:hAnsi="Garamond"/>
                <w:sz w:val="20"/>
                <w:szCs w:val="20"/>
              </w:rPr>
              <w:t>Guided pathways (local)</w:t>
            </w:r>
            <w:r w:rsidR="00B756EE">
              <w:rPr>
                <w:rStyle w:val="FootnoteReference"/>
                <w:rFonts w:ascii="Garamond" w:hAnsi="Garamond"/>
                <w:sz w:val="20"/>
                <w:szCs w:val="20"/>
              </w:rPr>
              <w:footnoteReference w:id="2"/>
            </w:r>
          </w:p>
          <w:p w14:paraId="71C07634" w14:textId="77777777" w:rsidR="00553CA2" w:rsidRDefault="00553CA2" w:rsidP="00372252">
            <w:pPr>
              <w:spacing w:after="0" w:line="240" w:lineRule="auto"/>
              <w:rPr>
                <w:rFonts w:ascii="Garamond" w:hAnsi="Garamond"/>
                <w:sz w:val="20"/>
                <w:szCs w:val="20"/>
              </w:rPr>
            </w:pPr>
          </w:p>
          <w:p w14:paraId="7F8390F6" w14:textId="77777777" w:rsidR="00553CA2" w:rsidRDefault="00553CA2" w:rsidP="00372252">
            <w:pPr>
              <w:spacing w:after="0" w:line="240" w:lineRule="auto"/>
              <w:rPr>
                <w:rFonts w:ascii="Garamond" w:hAnsi="Garamond"/>
                <w:sz w:val="20"/>
                <w:szCs w:val="20"/>
              </w:rPr>
            </w:pPr>
          </w:p>
          <w:p w14:paraId="755D391B" w14:textId="77777777" w:rsidR="00553CA2" w:rsidRDefault="00553CA2" w:rsidP="00372252">
            <w:pPr>
              <w:spacing w:after="0" w:line="240" w:lineRule="auto"/>
              <w:rPr>
                <w:rFonts w:ascii="Garamond" w:hAnsi="Garamond"/>
                <w:sz w:val="20"/>
                <w:szCs w:val="20"/>
              </w:rPr>
            </w:pPr>
          </w:p>
          <w:p w14:paraId="1464B7DF" w14:textId="77777777" w:rsidR="00553CA2" w:rsidRDefault="00553CA2" w:rsidP="00372252">
            <w:pPr>
              <w:spacing w:after="0" w:line="240" w:lineRule="auto"/>
              <w:rPr>
                <w:rFonts w:ascii="Garamond" w:hAnsi="Garamond"/>
                <w:sz w:val="20"/>
                <w:szCs w:val="20"/>
              </w:rPr>
            </w:pPr>
          </w:p>
          <w:p w14:paraId="76EEB19D" w14:textId="77777777" w:rsidR="00553CA2" w:rsidRDefault="00553CA2" w:rsidP="00372252">
            <w:pPr>
              <w:spacing w:after="0" w:line="240" w:lineRule="auto"/>
              <w:rPr>
                <w:rFonts w:ascii="Garamond" w:hAnsi="Garamond"/>
                <w:sz w:val="20"/>
                <w:szCs w:val="20"/>
              </w:rPr>
            </w:pPr>
          </w:p>
          <w:p w14:paraId="518E019A" w14:textId="77777777" w:rsidR="00553CA2" w:rsidRDefault="00553CA2" w:rsidP="00372252">
            <w:pPr>
              <w:spacing w:after="0" w:line="240" w:lineRule="auto"/>
              <w:rPr>
                <w:rFonts w:ascii="Garamond" w:hAnsi="Garamond"/>
                <w:sz w:val="20"/>
                <w:szCs w:val="20"/>
              </w:rPr>
            </w:pPr>
          </w:p>
          <w:p w14:paraId="2416CF3F" w14:textId="77777777" w:rsidR="00553CA2" w:rsidRDefault="00553CA2" w:rsidP="00372252">
            <w:pPr>
              <w:spacing w:after="0" w:line="240" w:lineRule="auto"/>
              <w:rPr>
                <w:rFonts w:ascii="Garamond" w:hAnsi="Garamond"/>
                <w:sz w:val="20"/>
                <w:szCs w:val="20"/>
              </w:rPr>
            </w:pPr>
          </w:p>
        </w:tc>
        <w:tc>
          <w:tcPr>
            <w:tcW w:w="818" w:type="pct"/>
            <w:tcBorders>
              <w:top w:val="nil"/>
              <w:left w:val="nil"/>
              <w:bottom w:val="single" w:sz="4" w:space="0" w:color="auto"/>
              <w:right w:val="single" w:sz="4" w:space="0" w:color="auto"/>
            </w:tcBorders>
            <w:shd w:val="clear" w:color="auto" w:fill="auto"/>
          </w:tcPr>
          <w:p w14:paraId="209DF842" w14:textId="77777777" w:rsidR="00553CA2" w:rsidRDefault="00553CA2" w:rsidP="008B7FB7">
            <w:pPr>
              <w:spacing w:after="0" w:line="240" w:lineRule="auto"/>
              <w:rPr>
                <w:rFonts w:ascii="Garamond" w:eastAsia="Times New Roman" w:hAnsi="Garamond" w:cs="Times New Roman"/>
                <w:color w:val="000000"/>
                <w:sz w:val="20"/>
                <w:szCs w:val="20"/>
              </w:rPr>
            </w:pPr>
            <w:r>
              <w:rPr>
                <w:rFonts w:ascii="Garamond" w:eastAsia="Times New Roman" w:hAnsi="Garamond" w:cs="Times New Roman"/>
                <w:color w:val="000000"/>
                <w:sz w:val="20"/>
                <w:szCs w:val="20"/>
              </w:rPr>
              <w:t>Local: Each year the college will create at least 2 guided pathways for its two-year programs:</w:t>
            </w:r>
          </w:p>
          <w:p w14:paraId="6749D2AB" w14:textId="21FFDD13" w:rsidR="00553CA2" w:rsidRDefault="00B07B7B" w:rsidP="008B7FB7">
            <w:pPr>
              <w:spacing w:after="0" w:line="240" w:lineRule="auto"/>
              <w:rPr>
                <w:rFonts w:ascii="Garamond" w:eastAsia="Times New Roman" w:hAnsi="Garamond" w:cs="Times New Roman"/>
                <w:color w:val="000000"/>
                <w:sz w:val="20"/>
                <w:szCs w:val="20"/>
              </w:rPr>
            </w:pPr>
            <w:r>
              <w:rPr>
                <w:rFonts w:ascii="Garamond" w:eastAsia="Times New Roman" w:hAnsi="Garamond" w:cs="Times New Roman"/>
                <w:color w:val="000000"/>
                <w:sz w:val="20"/>
                <w:szCs w:val="20"/>
              </w:rPr>
              <w:t>Green: &gt;</w:t>
            </w:r>
            <w:r w:rsidR="00553CA2">
              <w:rPr>
                <w:rFonts w:ascii="Garamond" w:eastAsia="Times New Roman" w:hAnsi="Garamond" w:cs="Times New Roman"/>
                <w:color w:val="000000"/>
                <w:sz w:val="20"/>
                <w:szCs w:val="20"/>
              </w:rPr>
              <w:t>2</w:t>
            </w:r>
          </w:p>
          <w:p w14:paraId="1623CA08" w14:textId="77777777" w:rsidR="00553CA2" w:rsidRDefault="00553CA2" w:rsidP="008B7FB7">
            <w:pPr>
              <w:spacing w:after="0" w:line="240" w:lineRule="auto"/>
              <w:rPr>
                <w:rFonts w:ascii="Garamond" w:eastAsia="Times New Roman" w:hAnsi="Garamond" w:cs="Times New Roman"/>
                <w:color w:val="000000"/>
                <w:sz w:val="20"/>
                <w:szCs w:val="20"/>
              </w:rPr>
            </w:pPr>
            <w:r>
              <w:rPr>
                <w:rFonts w:ascii="Garamond" w:eastAsia="Times New Roman" w:hAnsi="Garamond" w:cs="Times New Roman"/>
                <w:color w:val="000000"/>
                <w:sz w:val="20"/>
                <w:szCs w:val="20"/>
              </w:rPr>
              <w:t>Yellow = 1</w:t>
            </w:r>
          </w:p>
          <w:p w14:paraId="760A5B90" w14:textId="77777777" w:rsidR="00553CA2" w:rsidRDefault="00553CA2" w:rsidP="008B7FB7">
            <w:pPr>
              <w:spacing w:after="0" w:line="240" w:lineRule="auto"/>
              <w:rPr>
                <w:rFonts w:ascii="Garamond" w:eastAsia="Times New Roman" w:hAnsi="Garamond" w:cs="Times New Roman"/>
                <w:color w:val="000000"/>
                <w:sz w:val="20"/>
                <w:szCs w:val="20"/>
              </w:rPr>
            </w:pPr>
            <w:r>
              <w:rPr>
                <w:rFonts w:ascii="Garamond" w:eastAsia="Times New Roman" w:hAnsi="Garamond" w:cs="Times New Roman"/>
                <w:color w:val="000000"/>
                <w:sz w:val="20"/>
                <w:szCs w:val="20"/>
              </w:rPr>
              <w:t>Red = 0</w:t>
            </w:r>
          </w:p>
          <w:p w14:paraId="0667882B" w14:textId="77777777" w:rsidR="00553CA2" w:rsidRDefault="00553CA2" w:rsidP="008B7FB7">
            <w:pPr>
              <w:spacing w:after="0" w:line="240" w:lineRule="auto"/>
              <w:rPr>
                <w:rFonts w:ascii="Garamond" w:eastAsia="Times New Roman" w:hAnsi="Garamond" w:cs="Times New Roman"/>
                <w:color w:val="000000"/>
                <w:sz w:val="20"/>
                <w:szCs w:val="20"/>
              </w:rPr>
            </w:pPr>
          </w:p>
          <w:p w14:paraId="1E364C38" w14:textId="58D64647" w:rsidR="00553CA2" w:rsidRDefault="00553CA2" w:rsidP="008B7FB7">
            <w:pPr>
              <w:spacing w:after="0" w:line="240" w:lineRule="auto"/>
              <w:rPr>
                <w:rFonts w:ascii="Garamond" w:eastAsia="Times New Roman" w:hAnsi="Garamond" w:cs="Times New Roman"/>
                <w:color w:val="000000"/>
                <w:sz w:val="20"/>
                <w:szCs w:val="20"/>
              </w:rPr>
            </w:pPr>
          </w:p>
        </w:tc>
        <w:tc>
          <w:tcPr>
            <w:tcW w:w="790" w:type="pct"/>
            <w:tcBorders>
              <w:top w:val="nil"/>
              <w:left w:val="nil"/>
              <w:bottom w:val="single" w:sz="4" w:space="0" w:color="auto"/>
              <w:right w:val="single" w:sz="4" w:space="0" w:color="auto"/>
            </w:tcBorders>
            <w:shd w:val="clear" w:color="auto" w:fill="auto"/>
          </w:tcPr>
          <w:p w14:paraId="76D782BE" w14:textId="5E5E4F69" w:rsidR="00553CA2" w:rsidRPr="00B85949" w:rsidRDefault="00553CA2" w:rsidP="005D5FE9">
            <w:pPr>
              <w:spacing w:after="0" w:line="240" w:lineRule="auto"/>
              <w:rPr>
                <w:rFonts w:ascii="Garamond" w:eastAsia="Times New Roman" w:hAnsi="Garamond" w:cs="Times New Roman"/>
                <w:color w:val="FF0000"/>
                <w:sz w:val="20"/>
                <w:szCs w:val="20"/>
              </w:rPr>
            </w:pPr>
            <w:r w:rsidRPr="00544701">
              <w:rPr>
                <w:rFonts w:ascii="Garamond" w:eastAsia="Times New Roman" w:hAnsi="Garamond" w:cs="Times New Roman"/>
                <w:bCs/>
                <w:color w:val="000000" w:themeColor="text1"/>
                <w:sz w:val="20"/>
                <w:szCs w:val="20"/>
              </w:rPr>
              <w:t>Local</w:t>
            </w:r>
            <w:r>
              <w:rPr>
                <w:rFonts w:ascii="Garamond" w:eastAsia="Times New Roman" w:hAnsi="Garamond" w:cs="Times New Roman"/>
                <w:bCs/>
                <w:color w:val="000000" w:themeColor="text1"/>
                <w:sz w:val="20"/>
                <w:szCs w:val="20"/>
              </w:rPr>
              <w:t xml:space="preserve"> benchmark</w:t>
            </w:r>
          </w:p>
        </w:tc>
        <w:tc>
          <w:tcPr>
            <w:tcW w:w="789" w:type="pct"/>
            <w:tcBorders>
              <w:top w:val="nil"/>
              <w:left w:val="nil"/>
              <w:bottom w:val="single" w:sz="4" w:space="0" w:color="auto"/>
              <w:right w:val="single" w:sz="4" w:space="0" w:color="auto"/>
            </w:tcBorders>
            <w:shd w:val="clear" w:color="auto" w:fill="FF0000"/>
          </w:tcPr>
          <w:p w14:paraId="55AE17B3" w14:textId="77777777" w:rsidR="00553CA2" w:rsidRPr="00544701" w:rsidRDefault="00553CA2" w:rsidP="005D5FE9">
            <w:pPr>
              <w:spacing w:after="0" w:line="240" w:lineRule="auto"/>
              <w:rPr>
                <w:rFonts w:ascii="Garamond" w:eastAsia="Times New Roman" w:hAnsi="Garamond" w:cs="Times New Roman"/>
                <w:bCs/>
                <w:color w:val="000000" w:themeColor="text1"/>
                <w:sz w:val="20"/>
                <w:szCs w:val="20"/>
              </w:rPr>
            </w:pPr>
          </w:p>
        </w:tc>
      </w:tr>
      <w:tr w:rsidR="00553CA2" w:rsidRPr="00D3224A" w14:paraId="5E981EEB" w14:textId="12D01A60" w:rsidTr="004129BF">
        <w:trPr>
          <w:trHeight w:val="1463"/>
        </w:trPr>
        <w:tc>
          <w:tcPr>
            <w:tcW w:w="744" w:type="pct"/>
            <w:vMerge/>
            <w:tcBorders>
              <w:left w:val="single" w:sz="4" w:space="0" w:color="auto"/>
              <w:bottom w:val="single" w:sz="4" w:space="0" w:color="auto"/>
              <w:right w:val="nil"/>
            </w:tcBorders>
            <w:shd w:val="clear" w:color="auto" w:fill="auto"/>
          </w:tcPr>
          <w:p w14:paraId="5AE17945" w14:textId="77777777" w:rsidR="00553CA2" w:rsidRPr="00D3224A" w:rsidRDefault="00553CA2" w:rsidP="00FB7D63">
            <w:pPr>
              <w:spacing w:after="0" w:line="240" w:lineRule="auto"/>
              <w:rPr>
                <w:rFonts w:ascii="Garamond" w:eastAsia="Times New Roman" w:hAnsi="Garamond" w:cs="Times New Roman"/>
                <w:b/>
                <w:bCs/>
                <w:color w:val="000000"/>
                <w:sz w:val="20"/>
                <w:szCs w:val="20"/>
              </w:rPr>
            </w:pPr>
          </w:p>
        </w:tc>
        <w:tc>
          <w:tcPr>
            <w:tcW w:w="878" w:type="pct"/>
            <w:vMerge/>
            <w:tcBorders>
              <w:left w:val="single" w:sz="4" w:space="0" w:color="auto"/>
              <w:right w:val="single" w:sz="4" w:space="0" w:color="auto"/>
            </w:tcBorders>
            <w:shd w:val="clear" w:color="auto" w:fill="auto"/>
          </w:tcPr>
          <w:p w14:paraId="16F64215" w14:textId="77777777" w:rsidR="00553CA2" w:rsidRDefault="00553CA2" w:rsidP="00E91E0B">
            <w:pPr>
              <w:spacing w:after="0" w:line="240" w:lineRule="auto"/>
              <w:rPr>
                <w:rFonts w:ascii="Garamond" w:eastAsia="Times New Roman" w:hAnsi="Garamond" w:cs="Times New Roman"/>
                <w:bCs/>
                <w:color w:val="000000"/>
                <w:sz w:val="20"/>
                <w:szCs w:val="20"/>
              </w:rPr>
            </w:pPr>
          </w:p>
        </w:tc>
        <w:tc>
          <w:tcPr>
            <w:tcW w:w="981" w:type="pct"/>
            <w:tcBorders>
              <w:top w:val="nil"/>
              <w:left w:val="nil"/>
              <w:bottom w:val="single" w:sz="4" w:space="0" w:color="auto"/>
              <w:right w:val="single" w:sz="4" w:space="0" w:color="auto"/>
            </w:tcBorders>
            <w:shd w:val="clear" w:color="auto" w:fill="auto"/>
          </w:tcPr>
          <w:p w14:paraId="0DBB813F" w14:textId="77777777" w:rsidR="00553CA2" w:rsidRDefault="00553CA2" w:rsidP="00E41700">
            <w:pPr>
              <w:spacing w:after="0" w:line="240" w:lineRule="auto"/>
              <w:rPr>
                <w:rFonts w:ascii="Garamond" w:hAnsi="Garamond"/>
                <w:sz w:val="20"/>
                <w:szCs w:val="20"/>
              </w:rPr>
            </w:pPr>
            <w:r w:rsidRPr="00146954">
              <w:rPr>
                <w:rFonts w:ascii="Garamond" w:hAnsi="Garamond"/>
                <w:sz w:val="20"/>
                <w:szCs w:val="20"/>
              </w:rPr>
              <w:t xml:space="preserve">COM-FSM will be at least </w:t>
            </w:r>
            <w:r>
              <w:rPr>
                <w:rFonts w:ascii="Garamond" w:hAnsi="Garamond"/>
                <w:sz w:val="20"/>
                <w:szCs w:val="20"/>
              </w:rPr>
              <w:t>at</w:t>
            </w:r>
            <w:r w:rsidRPr="00146954">
              <w:rPr>
                <w:rFonts w:ascii="Garamond" w:hAnsi="Garamond"/>
                <w:sz w:val="20"/>
                <w:szCs w:val="20"/>
              </w:rPr>
              <w:t xml:space="preserve"> the median graduation rate in the Pacific (IPEDS data Pacific median graduation rate 14%).</w:t>
            </w:r>
            <w:r>
              <w:rPr>
                <w:rFonts w:ascii="Garamond" w:hAnsi="Garamond"/>
                <w:sz w:val="20"/>
                <w:szCs w:val="20"/>
              </w:rPr>
              <w:t xml:space="preserve"> COM-FSM rate 15% (2011 cohort)</w:t>
            </w:r>
          </w:p>
          <w:p w14:paraId="7391364A" w14:textId="77777777" w:rsidR="00553CA2" w:rsidRDefault="00553CA2" w:rsidP="00E41700">
            <w:pPr>
              <w:spacing w:after="0" w:line="240" w:lineRule="auto"/>
              <w:rPr>
                <w:rFonts w:ascii="Garamond" w:hAnsi="Garamond"/>
                <w:sz w:val="20"/>
                <w:szCs w:val="20"/>
              </w:rPr>
            </w:pPr>
          </w:p>
          <w:p w14:paraId="6D5A125E" w14:textId="77777777" w:rsidR="00553CA2" w:rsidRDefault="00553CA2" w:rsidP="00E41700">
            <w:pPr>
              <w:spacing w:after="0" w:line="240" w:lineRule="auto"/>
              <w:rPr>
                <w:rFonts w:ascii="Garamond" w:eastAsia="Times New Roman" w:hAnsi="Garamond" w:cs="Times New Roman"/>
                <w:color w:val="000000"/>
                <w:sz w:val="20"/>
                <w:szCs w:val="20"/>
              </w:rPr>
            </w:pPr>
            <w:r>
              <w:rPr>
                <w:rFonts w:ascii="Garamond" w:eastAsia="Times New Roman" w:hAnsi="Garamond" w:cs="Times New Roman"/>
                <w:color w:val="000000"/>
                <w:sz w:val="20"/>
                <w:szCs w:val="20"/>
              </w:rPr>
              <w:t>Green: ≥ Median rate</w:t>
            </w:r>
          </w:p>
          <w:p w14:paraId="337FA11A" w14:textId="77777777" w:rsidR="00553CA2" w:rsidRDefault="00553CA2" w:rsidP="00E41700">
            <w:pPr>
              <w:spacing w:after="0" w:line="240" w:lineRule="auto"/>
              <w:rPr>
                <w:rFonts w:ascii="Garamond" w:eastAsia="Times New Roman" w:hAnsi="Garamond" w:cs="Times New Roman"/>
                <w:color w:val="000000"/>
                <w:sz w:val="20"/>
                <w:szCs w:val="20"/>
              </w:rPr>
            </w:pPr>
            <w:r>
              <w:rPr>
                <w:rFonts w:ascii="Garamond" w:eastAsia="Times New Roman" w:hAnsi="Garamond" w:cs="Times New Roman"/>
                <w:color w:val="000000"/>
                <w:sz w:val="20"/>
                <w:szCs w:val="20"/>
              </w:rPr>
              <w:t>Yellow = Median rate less 0.1-2%</w:t>
            </w:r>
          </w:p>
          <w:p w14:paraId="42542D26" w14:textId="77777777" w:rsidR="00553CA2" w:rsidRDefault="00553CA2" w:rsidP="00E41700">
            <w:pPr>
              <w:spacing w:after="0" w:line="240" w:lineRule="auto"/>
              <w:rPr>
                <w:rFonts w:ascii="Garamond" w:eastAsia="Times New Roman" w:hAnsi="Garamond" w:cs="Times New Roman"/>
                <w:color w:val="000000"/>
                <w:sz w:val="20"/>
                <w:szCs w:val="20"/>
              </w:rPr>
            </w:pPr>
            <w:r>
              <w:rPr>
                <w:rFonts w:ascii="Garamond" w:eastAsia="Times New Roman" w:hAnsi="Garamond" w:cs="Times New Roman"/>
                <w:color w:val="000000"/>
                <w:sz w:val="20"/>
                <w:szCs w:val="20"/>
              </w:rPr>
              <w:t>Red = Under median value by more than 2%</w:t>
            </w:r>
          </w:p>
          <w:p w14:paraId="4E1CD459" w14:textId="77777777" w:rsidR="00553CA2" w:rsidRDefault="00553CA2" w:rsidP="00372252">
            <w:pPr>
              <w:spacing w:after="0" w:line="240" w:lineRule="auto"/>
              <w:rPr>
                <w:rFonts w:ascii="Garamond" w:hAnsi="Garamond"/>
                <w:sz w:val="20"/>
                <w:szCs w:val="20"/>
              </w:rPr>
            </w:pPr>
          </w:p>
        </w:tc>
        <w:tc>
          <w:tcPr>
            <w:tcW w:w="818" w:type="pct"/>
            <w:tcBorders>
              <w:top w:val="nil"/>
              <w:left w:val="nil"/>
              <w:bottom w:val="single" w:sz="4" w:space="0" w:color="auto"/>
              <w:right w:val="single" w:sz="4" w:space="0" w:color="auto"/>
            </w:tcBorders>
            <w:shd w:val="clear" w:color="auto" w:fill="auto"/>
          </w:tcPr>
          <w:p w14:paraId="3254E851" w14:textId="77777777" w:rsidR="00553CA2" w:rsidRDefault="00553CA2" w:rsidP="00E41700">
            <w:pPr>
              <w:spacing w:after="0" w:line="240" w:lineRule="auto"/>
              <w:rPr>
                <w:rFonts w:ascii="Garamond" w:eastAsia="Times New Roman" w:hAnsi="Garamond" w:cs="Times New Roman"/>
                <w:color w:val="000000"/>
                <w:sz w:val="20"/>
                <w:szCs w:val="20"/>
              </w:rPr>
            </w:pPr>
            <w:r>
              <w:rPr>
                <w:rFonts w:ascii="Garamond" w:eastAsia="Times New Roman" w:hAnsi="Garamond" w:cs="Times New Roman"/>
                <w:color w:val="000000"/>
                <w:sz w:val="20"/>
                <w:szCs w:val="20"/>
              </w:rPr>
              <w:t>Pacific regional graduation rate:</w:t>
            </w:r>
          </w:p>
          <w:p w14:paraId="7E613946" w14:textId="3EE20EEF" w:rsidR="00553CA2" w:rsidRDefault="00B07B7B" w:rsidP="00E41700">
            <w:pPr>
              <w:spacing w:after="0" w:line="240" w:lineRule="auto"/>
              <w:rPr>
                <w:rFonts w:ascii="Garamond" w:eastAsia="Times New Roman" w:hAnsi="Garamond" w:cs="Times New Roman"/>
                <w:color w:val="000000"/>
                <w:sz w:val="20"/>
                <w:szCs w:val="20"/>
              </w:rPr>
            </w:pPr>
            <w:r>
              <w:rPr>
                <w:rFonts w:ascii="Garamond" w:eastAsia="Times New Roman" w:hAnsi="Garamond" w:cs="Times New Roman"/>
                <w:color w:val="000000"/>
                <w:sz w:val="20"/>
                <w:szCs w:val="20"/>
              </w:rPr>
              <w:t>Green: ≥</w:t>
            </w:r>
            <w:r w:rsidR="00553CA2">
              <w:rPr>
                <w:rFonts w:ascii="Garamond" w:eastAsia="Times New Roman" w:hAnsi="Garamond" w:cs="Times New Roman"/>
                <w:color w:val="000000"/>
                <w:sz w:val="20"/>
                <w:szCs w:val="20"/>
              </w:rPr>
              <w:t>14%</w:t>
            </w:r>
          </w:p>
          <w:p w14:paraId="72DF2810" w14:textId="06DC146B" w:rsidR="00553CA2" w:rsidRDefault="00B07B7B" w:rsidP="00E41700">
            <w:pPr>
              <w:spacing w:after="0" w:line="240" w:lineRule="auto"/>
              <w:rPr>
                <w:rFonts w:ascii="Garamond" w:eastAsia="Times New Roman" w:hAnsi="Garamond" w:cs="Times New Roman"/>
                <w:color w:val="000000"/>
                <w:sz w:val="20"/>
                <w:szCs w:val="20"/>
              </w:rPr>
            </w:pPr>
            <w:r>
              <w:rPr>
                <w:rFonts w:ascii="Garamond" w:eastAsia="Times New Roman" w:hAnsi="Garamond" w:cs="Times New Roman"/>
                <w:color w:val="000000"/>
                <w:sz w:val="20"/>
                <w:szCs w:val="20"/>
              </w:rPr>
              <w:t>Yellow =</w:t>
            </w:r>
            <w:r w:rsidR="00553CA2">
              <w:rPr>
                <w:rFonts w:ascii="Garamond" w:eastAsia="Times New Roman" w:hAnsi="Garamond" w:cs="Times New Roman"/>
                <w:color w:val="000000"/>
                <w:sz w:val="20"/>
                <w:szCs w:val="20"/>
              </w:rPr>
              <w:t>12-13.9%</w:t>
            </w:r>
          </w:p>
          <w:p w14:paraId="7610F4E8" w14:textId="69F75608" w:rsidR="00553CA2" w:rsidRDefault="00B07B7B" w:rsidP="00E41700">
            <w:pPr>
              <w:spacing w:after="0" w:line="240" w:lineRule="auto"/>
              <w:rPr>
                <w:rFonts w:ascii="Garamond" w:eastAsia="Times New Roman" w:hAnsi="Garamond" w:cs="Times New Roman"/>
                <w:color w:val="000000"/>
                <w:sz w:val="20"/>
                <w:szCs w:val="20"/>
              </w:rPr>
            </w:pPr>
            <w:r>
              <w:rPr>
                <w:rFonts w:ascii="Garamond" w:eastAsia="Times New Roman" w:hAnsi="Garamond" w:cs="Times New Roman"/>
                <w:color w:val="000000"/>
                <w:sz w:val="20"/>
                <w:szCs w:val="20"/>
              </w:rPr>
              <w:t>Red &lt;</w:t>
            </w:r>
            <w:r w:rsidR="00553CA2">
              <w:rPr>
                <w:rFonts w:ascii="Garamond" w:eastAsia="Times New Roman" w:hAnsi="Garamond" w:cs="Times New Roman"/>
                <w:color w:val="000000"/>
                <w:sz w:val="20"/>
                <w:szCs w:val="20"/>
              </w:rPr>
              <w:t>12%</w:t>
            </w:r>
          </w:p>
          <w:p w14:paraId="0390554E" w14:textId="77777777" w:rsidR="00553CA2" w:rsidRDefault="00553CA2" w:rsidP="00E41700">
            <w:pPr>
              <w:spacing w:after="0" w:line="240" w:lineRule="auto"/>
              <w:rPr>
                <w:rFonts w:ascii="Garamond" w:eastAsia="Times New Roman" w:hAnsi="Garamond" w:cs="Times New Roman"/>
                <w:color w:val="000000"/>
                <w:sz w:val="20"/>
                <w:szCs w:val="20"/>
              </w:rPr>
            </w:pPr>
          </w:p>
          <w:p w14:paraId="430B2BC7" w14:textId="77777777" w:rsidR="00553CA2" w:rsidRDefault="00553CA2" w:rsidP="00372252">
            <w:pPr>
              <w:spacing w:after="0" w:line="240" w:lineRule="auto"/>
              <w:rPr>
                <w:rFonts w:ascii="Garamond" w:hAnsi="Garamond"/>
                <w:sz w:val="20"/>
                <w:szCs w:val="20"/>
              </w:rPr>
            </w:pPr>
          </w:p>
        </w:tc>
        <w:tc>
          <w:tcPr>
            <w:tcW w:w="790" w:type="pct"/>
            <w:tcBorders>
              <w:top w:val="nil"/>
              <w:left w:val="nil"/>
              <w:bottom w:val="single" w:sz="4" w:space="0" w:color="auto"/>
              <w:right w:val="single" w:sz="4" w:space="0" w:color="auto"/>
            </w:tcBorders>
            <w:shd w:val="clear" w:color="auto" w:fill="auto"/>
          </w:tcPr>
          <w:p w14:paraId="0051D655" w14:textId="63194F80" w:rsidR="00553CA2" w:rsidRDefault="00553CA2" w:rsidP="00372252">
            <w:pPr>
              <w:spacing w:after="0" w:line="240" w:lineRule="auto"/>
              <w:rPr>
                <w:rFonts w:ascii="Garamond" w:hAnsi="Garamond"/>
                <w:sz w:val="20"/>
                <w:szCs w:val="20"/>
              </w:rPr>
            </w:pPr>
            <w:r>
              <w:rPr>
                <w:rFonts w:ascii="Garamond" w:hAnsi="Garamond"/>
                <w:sz w:val="20"/>
                <w:szCs w:val="20"/>
              </w:rPr>
              <w:t>Regional benchmark</w:t>
            </w:r>
          </w:p>
        </w:tc>
        <w:tc>
          <w:tcPr>
            <w:tcW w:w="789" w:type="pct"/>
            <w:tcBorders>
              <w:top w:val="nil"/>
              <w:left w:val="nil"/>
              <w:bottom w:val="single" w:sz="4" w:space="0" w:color="auto"/>
              <w:right w:val="single" w:sz="4" w:space="0" w:color="auto"/>
            </w:tcBorders>
            <w:shd w:val="clear" w:color="auto" w:fill="00B050"/>
          </w:tcPr>
          <w:p w14:paraId="5490A160" w14:textId="77777777" w:rsidR="00553CA2" w:rsidRDefault="00553CA2" w:rsidP="00372252">
            <w:pPr>
              <w:spacing w:after="0" w:line="240" w:lineRule="auto"/>
              <w:rPr>
                <w:rFonts w:ascii="Garamond" w:hAnsi="Garamond"/>
                <w:sz w:val="20"/>
                <w:szCs w:val="20"/>
              </w:rPr>
            </w:pPr>
          </w:p>
        </w:tc>
      </w:tr>
      <w:tr w:rsidR="00553CA2" w:rsidRPr="00D3224A" w14:paraId="757AE0FB" w14:textId="4B8BCB2C" w:rsidTr="004129BF">
        <w:trPr>
          <w:trHeight w:val="1463"/>
        </w:trPr>
        <w:tc>
          <w:tcPr>
            <w:tcW w:w="744" w:type="pct"/>
            <w:vMerge/>
            <w:tcBorders>
              <w:left w:val="single" w:sz="4" w:space="0" w:color="auto"/>
              <w:bottom w:val="single" w:sz="4" w:space="0" w:color="auto"/>
              <w:right w:val="nil"/>
            </w:tcBorders>
            <w:shd w:val="clear" w:color="auto" w:fill="auto"/>
          </w:tcPr>
          <w:p w14:paraId="0CE70560" w14:textId="77777777" w:rsidR="00553CA2" w:rsidRPr="00D3224A" w:rsidRDefault="00553CA2" w:rsidP="00FB7D63">
            <w:pPr>
              <w:spacing w:after="0" w:line="240" w:lineRule="auto"/>
              <w:rPr>
                <w:rFonts w:ascii="Garamond" w:eastAsia="Times New Roman" w:hAnsi="Garamond" w:cs="Times New Roman"/>
                <w:b/>
                <w:bCs/>
                <w:color w:val="000000"/>
                <w:sz w:val="20"/>
                <w:szCs w:val="20"/>
              </w:rPr>
            </w:pPr>
          </w:p>
        </w:tc>
        <w:tc>
          <w:tcPr>
            <w:tcW w:w="878" w:type="pct"/>
            <w:vMerge/>
            <w:tcBorders>
              <w:left w:val="single" w:sz="4" w:space="0" w:color="auto"/>
              <w:bottom w:val="single" w:sz="4" w:space="0" w:color="auto"/>
              <w:right w:val="single" w:sz="4" w:space="0" w:color="auto"/>
            </w:tcBorders>
            <w:shd w:val="clear" w:color="auto" w:fill="auto"/>
          </w:tcPr>
          <w:p w14:paraId="15C5FA3C" w14:textId="77777777" w:rsidR="00553CA2" w:rsidRDefault="00553CA2" w:rsidP="00E91E0B">
            <w:pPr>
              <w:spacing w:after="0" w:line="240" w:lineRule="auto"/>
              <w:rPr>
                <w:rFonts w:ascii="Garamond" w:eastAsia="Times New Roman" w:hAnsi="Garamond" w:cs="Times New Roman"/>
                <w:bCs/>
                <w:color w:val="000000"/>
                <w:sz w:val="20"/>
                <w:szCs w:val="20"/>
              </w:rPr>
            </w:pPr>
          </w:p>
        </w:tc>
        <w:tc>
          <w:tcPr>
            <w:tcW w:w="981" w:type="pct"/>
            <w:tcBorders>
              <w:top w:val="nil"/>
              <w:left w:val="nil"/>
              <w:bottom w:val="single" w:sz="4" w:space="0" w:color="auto"/>
              <w:right w:val="single" w:sz="4" w:space="0" w:color="auto"/>
            </w:tcBorders>
            <w:shd w:val="clear" w:color="auto" w:fill="auto"/>
          </w:tcPr>
          <w:p w14:paraId="59771E18" w14:textId="77777777" w:rsidR="00553CA2" w:rsidRDefault="00553CA2" w:rsidP="00E41700">
            <w:pPr>
              <w:spacing w:after="0" w:line="240" w:lineRule="auto"/>
              <w:rPr>
                <w:rFonts w:ascii="Garamond" w:hAnsi="Garamond"/>
                <w:sz w:val="20"/>
                <w:szCs w:val="20"/>
              </w:rPr>
            </w:pPr>
            <w:r>
              <w:rPr>
                <w:rFonts w:ascii="Garamond" w:hAnsi="Garamond"/>
                <w:sz w:val="20"/>
                <w:szCs w:val="20"/>
              </w:rPr>
              <w:t>COM-FSM will be at least at the median transfer rate in the Pacific (IPEDS data Pacific median transfer rate 17%).</w:t>
            </w:r>
          </w:p>
          <w:p w14:paraId="49CA5C01" w14:textId="0FFD50AF" w:rsidR="00553CA2" w:rsidRDefault="00553CA2" w:rsidP="00E41700">
            <w:pPr>
              <w:spacing w:after="0" w:line="240" w:lineRule="auto"/>
              <w:rPr>
                <w:rFonts w:ascii="Garamond" w:hAnsi="Garamond"/>
                <w:sz w:val="20"/>
                <w:szCs w:val="20"/>
              </w:rPr>
            </w:pPr>
            <w:r>
              <w:rPr>
                <w:rFonts w:ascii="Garamond" w:hAnsi="Garamond"/>
                <w:sz w:val="20"/>
                <w:szCs w:val="20"/>
              </w:rPr>
              <w:t>COM-FSM (</w:t>
            </w:r>
            <w:r w:rsidRPr="00DB3C73">
              <w:rPr>
                <w:rFonts w:ascii="Garamond" w:hAnsi="Garamond"/>
                <w:sz w:val="20"/>
                <w:szCs w:val="20"/>
              </w:rPr>
              <w:t>IPEDS 2011 cohort not reported</w:t>
            </w:r>
            <w:r>
              <w:rPr>
                <w:rFonts w:ascii="Garamond" w:hAnsi="Garamond"/>
                <w:sz w:val="20"/>
                <w:szCs w:val="20"/>
              </w:rPr>
              <w:t>)</w:t>
            </w:r>
            <w:r w:rsidR="00DB3C73">
              <w:rPr>
                <w:rFonts w:ascii="Garamond" w:hAnsi="Garamond"/>
                <w:sz w:val="20"/>
                <w:szCs w:val="20"/>
              </w:rPr>
              <w:t>.</w:t>
            </w:r>
            <w:r w:rsidR="00BF4BAA">
              <w:rPr>
                <w:rStyle w:val="FootnoteReference"/>
                <w:rFonts w:ascii="Garamond" w:hAnsi="Garamond"/>
                <w:sz w:val="20"/>
                <w:szCs w:val="20"/>
              </w:rPr>
              <w:footnoteReference w:id="3"/>
            </w:r>
          </w:p>
          <w:p w14:paraId="733871AB" w14:textId="77777777" w:rsidR="00553CA2" w:rsidRDefault="00553CA2" w:rsidP="00E41700">
            <w:pPr>
              <w:spacing w:after="0" w:line="240" w:lineRule="auto"/>
              <w:rPr>
                <w:rFonts w:ascii="Garamond" w:eastAsia="Times New Roman" w:hAnsi="Garamond" w:cs="Times New Roman"/>
                <w:color w:val="000000"/>
                <w:sz w:val="20"/>
                <w:szCs w:val="20"/>
              </w:rPr>
            </w:pPr>
            <w:r>
              <w:rPr>
                <w:rFonts w:ascii="Garamond" w:eastAsia="Times New Roman" w:hAnsi="Garamond" w:cs="Times New Roman"/>
                <w:color w:val="000000"/>
                <w:sz w:val="20"/>
                <w:szCs w:val="20"/>
              </w:rPr>
              <w:t>Green: ≥ Median rate</w:t>
            </w:r>
          </w:p>
          <w:p w14:paraId="576DAF1F" w14:textId="77777777" w:rsidR="00553CA2" w:rsidRDefault="00553CA2" w:rsidP="00E41700">
            <w:pPr>
              <w:spacing w:after="0" w:line="240" w:lineRule="auto"/>
              <w:rPr>
                <w:rFonts w:ascii="Garamond" w:eastAsia="Times New Roman" w:hAnsi="Garamond" w:cs="Times New Roman"/>
                <w:color w:val="000000"/>
                <w:sz w:val="20"/>
                <w:szCs w:val="20"/>
              </w:rPr>
            </w:pPr>
            <w:r>
              <w:rPr>
                <w:rFonts w:ascii="Garamond" w:eastAsia="Times New Roman" w:hAnsi="Garamond" w:cs="Times New Roman"/>
                <w:color w:val="000000"/>
                <w:sz w:val="20"/>
                <w:szCs w:val="20"/>
              </w:rPr>
              <w:t>Yellow = Median rate less 0.1-7%</w:t>
            </w:r>
          </w:p>
          <w:p w14:paraId="25E417CC" w14:textId="77777777" w:rsidR="00553CA2" w:rsidRDefault="00553CA2" w:rsidP="00E41700">
            <w:pPr>
              <w:spacing w:after="0" w:line="240" w:lineRule="auto"/>
              <w:rPr>
                <w:rFonts w:ascii="Garamond" w:eastAsia="Times New Roman" w:hAnsi="Garamond" w:cs="Times New Roman"/>
                <w:color w:val="000000"/>
                <w:sz w:val="20"/>
                <w:szCs w:val="20"/>
              </w:rPr>
            </w:pPr>
            <w:r>
              <w:rPr>
                <w:rFonts w:ascii="Garamond" w:eastAsia="Times New Roman" w:hAnsi="Garamond" w:cs="Times New Roman"/>
                <w:color w:val="000000"/>
                <w:sz w:val="20"/>
                <w:szCs w:val="20"/>
              </w:rPr>
              <w:t>Red = Under median value by more than 7%</w:t>
            </w:r>
          </w:p>
          <w:p w14:paraId="4B005029" w14:textId="77777777" w:rsidR="00553CA2" w:rsidRDefault="00553CA2" w:rsidP="00372252">
            <w:pPr>
              <w:spacing w:after="0" w:line="240" w:lineRule="auto"/>
              <w:rPr>
                <w:rFonts w:ascii="Garamond" w:hAnsi="Garamond"/>
                <w:sz w:val="20"/>
                <w:szCs w:val="20"/>
              </w:rPr>
            </w:pPr>
          </w:p>
        </w:tc>
        <w:tc>
          <w:tcPr>
            <w:tcW w:w="818" w:type="pct"/>
            <w:tcBorders>
              <w:top w:val="nil"/>
              <w:left w:val="nil"/>
              <w:bottom w:val="single" w:sz="4" w:space="0" w:color="auto"/>
              <w:right w:val="single" w:sz="4" w:space="0" w:color="auto"/>
            </w:tcBorders>
            <w:shd w:val="clear" w:color="auto" w:fill="auto"/>
          </w:tcPr>
          <w:p w14:paraId="3A71B74A" w14:textId="77777777" w:rsidR="00553CA2" w:rsidRDefault="00553CA2" w:rsidP="00E41700">
            <w:pPr>
              <w:spacing w:after="0" w:line="240" w:lineRule="auto"/>
              <w:rPr>
                <w:rFonts w:ascii="Garamond" w:eastAsia="Times New Roman" w:hAnsi="Garamond" w:cs="Times New Roman"/>
                <w:color w:val="000000"/>
                <w:sz w:val="20"/>
                <w:szCs w:val="20"/>
              </w:rPr>
            </w:pPr>
            <w:r>
              <w:rPr>
                <w:rFonts w:ascii="Garamond" w:eastAsia="Times New Roman" w:hAnsi="Garamond" w:cs="Times New Roman"/>
                <w:color w:val="000000"/>
                <w:sz w:val="20"/>
                <w:szCs w:val="20"/>
              </w:rPr>
              <w:t>Pacific regional transfer rate:</w:t>
            </w:r>
          </w:p>
          <w:p w14:paraId="379164FB" w14:textId="7846AD5F" w:rsidR="00553CA2" w:rsidRDefault="00DD794B" w:rsidP="00E41700">
            <w:pPr>
              <w:spacing w:after="0" w:line="240" w:lineRule="auto"/>
              <w:rPr>
                <w:rFonts w:ascii="Garamond" w:eastAsia="Times New Roman" w:hAnsi="Garamond" w:cs="Times New Roman"/>
                <w:color w:val="000000"/>
                <w:sz w:val="20"/>
                <w:szCs w:val="20"/>
              </w:rPr>
            </w:pPr>
            <w:r>
              <w:rPr>
                <w:rFonts w:ascii="Garamond" w:eastAsia="Times New Roman" w:hAnsi="Garamond" w:cs="Times New Roman"/>
                <w:color w:val="000000"/>
                <w:sz w:val="20"/>
                <w:szCs w:val="20"/>
              </w:rPr>
              <w:t>Green: ≥</w:t>
            </w:r>
            <w:r w:rsidR="00553CA2">
              <w:rPr>
                <w:rFonts w:ascii="Garamond" w:eastAsia="Times New Roman" w:hAnsi="Garamond" w:cs="Times New Roman"/>
                <w:color w:val="000000"/>
                <w:sz w:val="20"/>
                <w:szCs w:val="20"/>
              </w:rPr>
              <w:t>17%</w:t>
            </w:r>
          </w:p>
          <w:p w14:paraId="5FDBB584" w14:textId="2F93084A" w:rsidR="00553CA2" w:rsidRDefault="00DD794B" w:rsidP="00E41700">
            <w:pPr>
              <w:spacing w:after="0" w:line="240" w:lineRule="auto"/>
              <w:rPr>
                <w:rFonts w:ascii="Garamond" w:eastAsia="Times New Roman" w:hAnsi="Garamond" w:cs="Times New Roman"/>
                <w:color w:val="000000"/>
                <w:sz w:val="20"/>
                <w:szCs w:val="20"/>
              </w:rPr>
            </w:pPr>
            <w:r>
              <w:rPr>
                <w:rFonts w:ascii="Garamond" w:eastAsia="Times New Roman" w:hAnsi="Garamond" w:cs="Times New Roman"/>
                <w:color w:val="000000"/>
                <w:sz w:val="20"/>
                <w:szCs w:val="20"/>
              </w:rPr>
              <w:t>Yellow =</w:t>
            </w:r>
            <w:r w:rsidR="00553CA2">
              <w:rPr>
                <w:rFonts w:ascii="Garamond" w:eastAsia="Times New Roman" w:hAnsi="Garamond" w:cs="Times New Roman"/>
                <w:color w:val="000000"/>
                <w:sz w:val="20"/>
                <w:szCs w:val="20"/>
              </w:rPr>
              <w:t>10-16.9%</w:t>
            </w:r>
          </w:p>
          <w:p w14:paraId="0ACF7BF9" w14:textId="5B92A247" w:rsidR="00553CA2" w:rsidRDefault="00DD794B" w:rsidP="00E41700">
            <w:pPr>
              <w:spacing w:after="0" w:line="240" w:lineRule="auto"/>
              <w:rPr>
                <w:rFonts w:ascii="Garamond" w:eastAsia="Times New Roman" w:hAnsi="Garamond" w:cs="Times New Roman"/>
                <w:color w:val="000000"/>
                <w:sz w:val="20"/>
                <w:szCs w:val="20"/>
              </w:rPr>
            </w:pPr>
            <w:r>
              <w:rPr>
                <w:rFonts w:ascii="Garamond" w:eastAsia="Times New Roman" w:hAnsi="Garamond" w:cs="Times New Roman"/>
                <w:color w:val="000000"/>
                <w:sz w:val="20"/>
                <w:szCs w:val="20"/>
              </w:rPr>
              <w:t>Red = &lt;</w:t>
            </w:r>
            <w:r w:rsidR="00553CA2">
              <w:rPr>
                <w:rFonts w:ascii="Garamond" w:eastAsia="Times New Roman" w:hAnsi="Garamond" w:cs="Times New Roman"/>
                <w:color w:val="000000"/>
                <w:sz w:val="20"/>
                <w:szCs w:val="20"/>
              </w:rPr>
              <w:t>10%</w:t>
            </w:r>
          </w:p>
          <w:p w14:paraId="6610170C" w14:textId="77777777" w:rsidR="00553CA2" w:rsidRDefault="00553CA2" w:rsidP="00372252">
            <w:pPr>
              <w:spacing w:after="0" w:line="240" w:lineRule="auto"/>
              <w:rPr>
                <w:rFonts w:ascii="Garamond" w:hAnsi="Garamond"/>
                <w:sz w:val="20"/>
                <w:szCs w:val="20"/>
              </w:rPr>
            </w:pPr>
          </w:p>
        </w:tc>
        <w:tc>
          <w:tcPr>
            <w:tcW w:w="790" w:type="pct"/>
            <w:tcBorders>
              <w:top w:val="nil"/>
              <w:left w:val="nil"/>
              <w:bottom w:val="single" w:sz="4" w:space="0" w:color="auto"/>
              <w:right w:val="single" w:sz="4" w:space="0" w:color="auto"/>
            </w:tcBorders>
            <w:shd w:val="clear" w:color="auto" w:fill="auto"/>
          </w:tcPr>
          <w:p w14:paraId="671D98C6" w14:textId="5D0BD1F7" w:rsidR="00553CA2" w:rsidRDefault="00553CA2" w:rsidP="00372252">
            <w:pPr>
              <w:spacing w:after="0" w:line="240" w:lineRule="auto"/>
              <w:rPr>
                <w:rFonts w:ascii="Garamond" w:hAnsi="Garamond"/>
                <w:sz w:val="20"/>
                <w:szCs w:val="20"/>
              </w:rPr>
            </w:pPr>
            <w:r>
              <w:rPr>
                <w:rFonts w:ascii="Garamond" w:hAnsi="Garamond"/>
                <w:sz w:val="20"/>
                <w:szCs w:val="20"/>
              </w:rPr>
              <w:t>Regional benchmark</w:t>
            </w:r>
          </w:p>
        </w:tc>
        <w:tc>
          <w:tcPr>
            <w:tcW w:w="789" w:type="pct"/>
            <w:tcBorders>
              <w:top w:val="nil"/>
              <w:left w:val="nil"/>
              <w:bottom w:val="single" w:sz="4" w:space="0" w:color="auto"/>
              <w:right w:val="single" w:sz="4" w:space="0" w:color="auto"/>
            </w:tcBorders>
            <w:shd w:val="clear" w:color="auto" w:fill="FF0000"/>
          </w:tcPr>
          <w:p w14:paraId="4CFE3505" w14:textId="77777777" w:rsidR="00553CA2" w:rsidRDefault="00553CA2" w:rsidP="00372252">
            <w:pPr>
              <w:spacing w:after="0" w:line="240" w:lineRule="auto"/>
              <w:rPr>
                <w:rFonts w:ascii="Garamond" w:hAnsi="Garamond"/>
                <w:sz w:val="20"/>
                <w:szCs w:val="20"/>
              </w:rPr>
            </w:pPr>
          </w:p>
        </w:tc>
      </w:tr>
      <w:tr w:rsidR="00553CA2" w:rsidRPr="00D3224A" w14:paraId="1E3A8A59" w14:textId="4F44D915" w:rsidTr="004129BF">
        <w:trPr>
          <w:trHeight w:val="485"/>
        </w:trPr>
        <w:tc>
          <w:tcPr>
            <w:tcW w:w="744" w:type="pct"/>
            <w:vMerge/>
            <w:tcBorders>
              <w:left w:val="single" w:sz="4" w:space="0" w:color="auto"/>
              <w:bottom w:val="single" w:sz="4" w:space="0" w:color="auto"/>
              <w:right w:val="nil"/>
            </w:tcBorders>
            <w:shd w:val="clear" w:color="auto" w:fill="auto"/>
          </w:tcPr>
          <w:p w14:paraId="1CF891D5" w14:textId="76C0A5DB" w:rsidR="00553CA2" w:rsidRPr="00D3224A" w:rsidRDefault="00553CA2" w:rsidP="0080060D">
            <w:pPr>
              <w:spacing w:after="0" w:line="240" w:lineRule="auto"/>
              <w:rPr>
                <w:rFonts w:ascii="Garamond" w:eastAsia="Times New Roman" w:hAnsi="Garamond" w:cs="Times New Roman"/>
                <w:b/>
                <w:bCs/>
                <w:color w:val="000000"/>
                <w:sz w:val="20"/>
                <w:szCs w:val="20"/>
              </w:rPr>
            </w:pPr>
          </w:p>
        </w:tc>
        <w:tc>
          <w:tcPr>
            <w:tcW w:w="878" w:type="pct"/>
            <w:tcBorders>
              <w:top w:val="nil"/>
              <w:left w:val="single" w:sz="4" w:space="0" w:color="auto"/>
              <w:bottom w:val="single" w:sz="4" w:space="0" w:color="auto"/>
              <w:right w:val="single" w:sz="4" w:space="0" w:color="auto"/>
            </w:tcBorders>
            <w:shd w:val="clear" w:color="auto" w:fill="auto"/>
          </w:tcPr>
          <w:p w14:paraId="06FF4DA8" w14:textId="5F042189" w:rsidR="00553CA2" w:rsidRPr="00D3224A" w:rsidRDefault="00DD794B" w:rsidP="00641174">
            <w:pPr>
              <w:spacing w:after="0" w:line="240" w:lineRule="auto"/>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 xml:space="preserve">Fall to </w:t>
            </w:r>
            <w:r w:rsidR="00553CA2" w:rsidRPr="00544701">
              <w:rPr>
                <w:rFonts w:ascii="Garamond" w:eastAsia="Times New Roman" w:hAnsi="Garamond" w:cs="Times New Roman"/>
                <w:bCs/>
                <w:color w:val="000000" w:themeColor="text1"/>
                <w:sz w:val="20"/>
                <w:szCs w:val="20"/>
              </w:rPr>
              <w:t>fall persistence rate</w:t>
            </w:r>
          </w:p>
        </w:tc>
        <w:tc>
          <w:tcPr>
            <w:tcW w:w="981" w:type="pct"/>
            <w:tcBorders>
              <w:top w:val="nil"/>
              <w:left w:val="nil"/>
              <w:bottom w:val="single" w:sz="4" w:space="0" w:color="auto"/>
              <w:right w:val="single" w:sz="4" w:space="0" w:color="auto"/>
            </w:tcBorders>
            <w:shd w:val="clear" w:color="auto" w:fill="auto"/>
          </w:tcPr>
          <w:p w14:paraId="4F0FF136" w14:textId="1360265D" w:rsidR="00553CA2" w:rsidRDefault="00553CA2" w:rsidP="00641174">
            <w:pPr>
              <w:spacing w:after="0" w:line="240" w:lineRule="auto"/>
              <w:rPr>
                <w:rFonts w:ascii="Garamond" w:eastAsia="Times New Roman" w:hAnsi="Garamond" w:cs="Times New Roman"/>
                <w:bCs/>
                <w:color w:val="000000"/>
                <w:sz w:val="20"/>
                <w:szCs w:val="20"/>
              </w:rPr>
            </w:pPr>
            <w:r w:rsidRPr="00544701">
              <w:rPr>
                <w:rFonts w:ascii="Garamond" w:eastAsia="Times New Roman" w:hAnsi="Garamond" w:cs="Times New Roman"/>
                <w:bCs/>
                <w:color w:val="000000" w:themeColor="text1"/>
                <w:sz w:val="20"/>
                <w:szCs w:val="20"/>
              </w:rPr>
              <w:t xml:space="preserve">Fall-to-Fall Persistence </w:t>
            </w:r>
            <w:r w:rsidRPr="00D3224A">
              <w:rPr>
                <w:rFonts w:ascii="Garamond" w:eastAsia="Times New Roman" w:hAnsi="Garamond" w:cs="Times New Roman"/>
                <w:bCs/>
                <w:color w:val="000000"/>
                <w:sz w:val="20"/>
                <w:szCs w:val="20"/>
              </w:rPr>
              <w:t xml:space="preserve">Rate </w:t>
            </w:r>
            <w:r>
              <w:rPr>
                <w:rFonts w:ascii="Garamond" w:eastAsia="Times New Roman" w:hAnsi="Garamond" w:cs="Times New Roman"/>
                <w:bCs/>
                <w:color w:val="000000"/>
                <w:sz w:val="20"/>
                <w:szCs w:val="20"/>
              </w:rPr>
              <w:t>60.12%</w:t>
            </w:r>
          </w:p>
          <w:p w14:paraId="3EF0E383" w14:textId="5F4A7ECF" w:rsidR="00553CA2" w:rsidRPr="00050504" w:rsidRDefault="00553CA2" w:rsidP="00641174">
            <w:pPr>
              <w:spacing w:after="0" w:line="240" w:lineRule="auto"/>
              <w:rPr>
                <w:rFonts w:ascii="Garamond" w:eastAsia="Times New Roman" w:hAnsi="Garamond" w:cs="Times New Roman"/>
                <w:bCs/>
                <w:strike/>
                <w:color w:val="FF0000"/>
                <w:sz w:val="20"/>
                <w:szCs w:val="20"/>
              </w:rPr>
            </w:pPr>
          </w:p>
          <w:p w14:paraId="0B52DF21" w14:textId="19FAB235" w:rsidR="00553CA2" w:rsidRPr="00544701" w:rsidRDefault="00553CA2" w:rsidP="00641174">
            <w:pPr>
              <w:spacing w:after="0" w:line="240" w:lineRule="auto"/>
              <w:rPr>
                <w:rFonts w:ascii="Garamond" w:eastAsia="Times New Roman" w:hAnsi="Garamond" w:cs="Times New Roman"/>
                <w:bCs/>
                <w:color w:val="000000"/>
                <w:sz w:val="20"/>
                <w:szCs w:val="20"/>
              </w:rPr>
            </w:pPr>
          </w:p>
        </w:tc>
        <w:tc>
          <w:tcPr>
            <w:tcW w:w="818" w:type="pct"/>
            <w:tcBorders>
              <w:top w:val="nil"/>
              <w:left w:val="nil"/>
              <w:bottom w:val="single" w:sz="4" w:space="0" w:color="auto"/>
              <w:right w:val="single" w:sz="4" w:space="0" w:color="auto"/>
            </w:tcBorders>
            <w:shd w:val="clear" w:color="auto" w:fill="auto"/>
          </w:tcPr>
          <w:p w14:paraId="42D15AAD" w14:textId="45439A0A" w:rsidR="00553CA2" w:rsidRDefault="00DD794B" w:rsidP="0080060D">
            <w:pPr>
              <w:spacing w:after="0" w:line="240" w:lineRule="auto"/>
              <w:rPr>
                <w:rFonts w:ascii="Garamond" w:eastAsia="Times New Roman" w:hAnsi="Garamond" w:cs="Times New Roman"/>
                <w:color w:val="000000" w:themeColor="text1"/>
                <w:sz w:val="20"/>
                <w:szCs w:val="20"/>
              </w:rPr>
            </w:pPr>
            <w:r>
              <w:rPr>
                <w:rFonts w:ascii="Garamond" w:eastAsia="Times New Roman" w:hAnsi="Garamond" w:cs="Times New Roman"/>
                <w:bCs/>
                <w:color w:val="000000" w:themeColor="text1"/>
                <w:sz w:val="20"/>
                <w:szCs w:val="20"/>
              </w:rPr>
              <w:t xml:space="preserve">Fall to </w:t>
            </w:r>
            <w:r w:rsidR="00553CA2" w:rsidRPr="00544701">
              <w:rPr>
                <w:rFonts w:ascii="Garamond" w:eastAsia="Times New Roman" w:hAnsi="Garamond" w:cs="Times New Roman"/>
                <w:bCs/>
                <w:color w:val="000000" w:themeColor="text1"/>
                <w:sz w:val="20"/>
                <w:szCs w:val="20"/>
              </w:rPr>
              <w:t>Fall Persistence</w:t>
            </w:r>
            <w:r w:rsidR="00553CA2" w:rsidRPr="00544701">
              <w:rPr>
                <w:rFonts w:ascii="Garamond" w:eastAsia="Times New Roman" w:hAnsi="Garamond" w:cs="Times New Roman"/>
                <w:color w:val="000000" w:themeColor="text1"/>
                <w:sz w:val="20"/>
                <w:szCs w:val="20"/>
              </w:rPr>
              <w:t xml:space="preserve"> </w:t>
            </w:r>
          </w:p>
          <w:p w14:paraId="21603139" w14:textId="09B2076E" w:rsidR="00553CA2" w:rsidRDefault="00553CA2" w:rsidP="0080060D">
            <w:pPr>
              <w:spacing w:after="0" w:line="240" w:lineRule="auto"/>
              <w:rPr>
                <w:rFonts w:ascii="Garamond" w:eastAsia="Times New Roman" w:hAnsi="Garamond" w:cs="Times New Roman"/>
                <w:color w:val="000000" w:themeColor="text1"/>
                <w:sz w:val="20"/>
                <w:szCs w:val="20"/>
              </w:rPr>
            </w:pPr>
            <w:r>
              <w:rPr>
                <w:rFonts w:ascii="Garamond" w:eastAsia="Times New Roman" w:hAnsi="Garamond" w:cs="Times New Roman"/>
                <w:color w:val="000000" w:themeColor="text1"/>
                <w:sz w:val="20"/>
                <w:szCs w:val="20"/>
              </w:rPr>
              <w:t>Green ≥</w:t>
            </w:r>
            <w:r w:rsidRPr="00544701">
              <w:rPr>
                <w:rFonts w:ascii="Garamond" w:eastAsia="Times New Roman" w:hAnsi="Garamond" w:cs="Times New Roman"/>
                <w:color w:val="000000" w:themeColor="text1"/>
                <w:sz w:val="20"/>
                <w:szCs w:val="20"/>
              </w:rPr>
              <w:t>55.0%</w:t>
            </w:r>
          </w:p>
          <w:p w14:paraId="785C0BE6" w14:textId="4A75FAD1" w:rsidR="00553CA2" w:rsidRDefault="00553CA2" w:rsidP="0080060D">
            <w:pPr>
              <w:spacing w:after="0" w:line="240" w:lineRule="auto"/>
              <w:rPr>
                <w:rFonts w:ascii="Garamond" w:eastAsia="Times New Roman" w:hAnsi="Garamond" w:cs="Times New Roman"/>
                <w:color w:val="000000" w:themeColor="text1"/>
                <w:sz w:val="20"/>
                <w:szCs w:val="20"/>
              </w:rPr>
            </w:pPr>
            <w:r>
              <w:rPr>
                <w:rFonts w:ascii="Garamond" w:eastAsia="Times New Roman" w:hAnsi="Garamond" w:cs="Times New Roman"/>
                <w:color w:val="000000" w:themeColor="text1"/>
                <w:sz w:val="20"/>
                <w:szCs w:val="20"/>
              </w:rPr>
              <w:t xml:space="preserve">Yellow </w:t>
            </w:r>
            <w:r w:rsidR="00DD794B">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48-54.9%</w:t>
            </w:r>
          </w:p>
          <w:p w14:paraId="0546B834" w14:textId="6F71EAF8" w:rsidR="00553CA2" w:rsidRPr="00B85949" w:rsidRDefault="00553CA2" w:rsidP="0080060D">
            <w:pPr>
              <w:spacing w:after="0" w:line="240" w:lineRule="auto"/>
              <w:rPr>
                <w:rFonts w:ascii="Garamond" w:eastAsia="Times New Roman" w:hAnsi="Garamond" w:cs="Times New Roman"/>
                <w:bCs/>
                <w:color w:val="FF0000"/>
                <w:sz w:val="20"/>
                <w:szCs w:val="20"/>
              </w:rPr>
            </w:pPr>
            <w:r>
              <w:rPr>
                <w:rFonts w:ascii="Garamond" w:eastAsia="Times New Roman" w:hAnsi="Garamond" w:cs="Times New Roman"/>
                <w:color w:val="000000" w:themeColor="text1"/>
                <w:sz w:val="20"/>
                <w:szCs w:val="20"/>
              </w:rPr>
              <w:t>Red &lt;48%</w:t>
            </w:r>
          </w:p>
        </w:tc>
        <w:tc>
          <w:tcPr>
            <w:tcW w:w="790" w:type="pct"/>
            <w:tcBorders>
              <w:top w:val="nil"/>
              <w:left w:val="nil"/>
              <w:bottom w:val="single" w:sz="4" w:space="0" w:color="auto"/>
              <w:right w:val="single" w:sz="4" w:space="0" w:color="auto"/>
            </w:tcBorders>
          </w:tcPr>
          <w:p w14:paraId="051553BF" w14:textId="221D94EB" w:rsidR="00553CA2" w:rsidRPr="00382D7B" w:rsidRDefault="00553CA2" w:rsidP="0080060D">
            <w:pPr>
              <w:spacing w:after="0" w:line="240" w:lineRule="auto"/>
              <w:rPr>
                <w:rFonts w:ascii="Garamond" w:eastAsia="Times New Roman" w:hAnsi="Garamond" w:cs="Times New Roman"/>
                <w:sz w:val="20"/>
                <w:szCs w:val="20"/>
              </w:rPr>
            </w:pPr>
            <w:r w:rsidRPr="00382D7B">
              <w:rPr>
                <w:rFonts w:ascii="Garamond" w:eastAsia="Times New Roman" w:hAnsi="Garamond" w:cs="Times New Roman"/>
                <w:sz w:val="20"/>
                <w:szCs w:val="20"/>
              </w:rPr>
              <w:t>Local benchmark</w:t>
            </w:r>
          </w:p>
        </w:tc>
        <w:tc>
          <w:tcPr>
            <w:tcW w:w="789" w:type="pct"/>
            <w:tcBorders>
              <w:top w:val="nil"/>
              <w:left w:val="nil"/>
              <w:bottom w:val="single" w:sz="4" w:space="0" w:color="auto"/>
              <w:right w:val="single" w:sz="4" w:space="0" w:color="auto"/>
            </w:tcBorders>
            <w:shd w:val="clear" w:color="auto" w:fill="00B050"/>
          </w:tcPr>
          <w:p w14:paraId="1F48D36C" w14:textId="77777777" w:rsidR="00553CA2" w:rsidRPr="00382D7B" w:rsidRDefault="00553CA2" w:rsidP="0080060D">
            <w:pPr>
              <w:spacing w:after="0" w:line="240" w:lineRule="auto"/>
              <w:rPr>
                <w:rFonts w:ascii="Garamond" w:eastAsia="Times New Roman" w:hAnsi="Garamond" w:cs="Times New Roman"/>
                <w:sz w:val="20"/>
                <w:szCs w:val="20"/>
              </w:rPr>
            </w:pPr>
          </w:p>
        </w:tc>
      </w:tr>
      <w:tr w:rsidR="00553CA2" w:rsidRPr="00D3224A" w14:paraId="660B724C" w14:textId="47E39313" w:rsidTr="00E7236E">
        <w:trPr>
          <w:trHeight w:val="630"/>
        </w:trPr>
        <w:tc>
          <w:tcPr>
            <w:tcW w:w="744" w:type="pct"/>
            <w:vMerge/>
            <w:tcBorders>
              <w:left w:val="single" w:sz="4" w:space="0" w:color="auto"/>
              <w:bottom w:val="single" w:sz="4" w:space="0" w:color="auto"/>
              <w:right w:val="nil"/>
            </w:tcBorders>
            <w:shd w:val="clear" w:color="auto" w:fill="auto"/>
            <w:vAlign w:val="bottom"/>
          </w:tcPr>
          <w:p w14:paraId="7AD433A8" w14:textId="7E416A2A" w:rsidR="00553CA2" w:rsidRPr="00D3224A" w:rsidRDefault="00553CA2" w:rsidP="00FB7D63">
            <w:pPr>
              <w:spacing w:after="0" w:line="240" w:lineRule="auto"/>
              <w:rPr>
                <w:rFonts w:ascii="Garamond" w:eastAsia="Times New Roman" w:hAnsi="Garamond" w:cs="Times New Roman"/>
                <w:color w:val="000000"/>
                <w:sz w:val="20"/>
                <w:szCs w:val="20"/>
              </w:rPr>
            </w:pPr>
          </w:p>
        </w:tc>
        <w:tc>
          <w:tcPr>
            <w:tcW w:w="878" w:type="pct"/>
            <w:tcBorders>
              <w:top w:val="nil"/>
              <w:left w:val="single" w:sz="4" w:space="0" w:color="auto"/>
              <w:bottom w:val="single" w:sz="4" w:space="0" w:color="auto"/>
              <w:right w:val="single" w:sz="4" w:space="0" w:color="auto"/>
            </w:tcBorders>
            <w:shd w:val="clear" w:color="auto" w:fill="auto"/>
          </w:tcPr>
          <w:p w14:paraId="39CEA4B9" w14:textId="6C0B2BFC" w:rsidR="00553CA2" w:rsidRPr="00251E1F" w:rsidRDefault="00553CA2" w:rsidP="006015CC">
            <w:pPr>
              <w:spacing w:after="0" w:line="240" w:lineRule="auto"/>
              <w:rPr>
                <w:rFonts w:ascii="Garamond" w:eastAsia="Times New Roman" w:hAnsi="Garamond" w:cs="Times New Roman"/>
                <w:bCs/>
                <w:strike/>
                <w:color w:val="FF0000"/>
                <w:sz w:val="20"/>
                <w:szCs w:val="20"/>
              </w:rPr>
            </w:pPr>
            <w:r>
              <w:rPr>
                <w:rFonts w:ascii="Garamond" w:eastAsia="Times New Roman" w:hAnsi="Garamond" w:cs="Times New Roman"/>
                <w:bCs/>
                <w:color w:val="000000"/>
                <w:sz w:val="20"/>
                <w:szCs w:val="20"/>
              </w:rPr>
              <w:t>Percent full-time, first-time students that completed in 3 years (150%)</w:t>
            </w:r>
          </w:p>
        </w:tc>
        <w:tc>
          <w:tcPr>
            <w:tcW w:w="981" w:type="pct"/>
            <w:tcBorders>
              <w:top w:val="nil"/>
              <w:left w:val="nil"/>
              <w:bottom w:val="single" w:sz="4" w:space="0" w:color="auto"/>
              <w:right w:val="single" w:sz="4" w:space="0" w:color="auto"/>
            </w:tcBorders>
            <w:shd w:val="clear" w:color="auto" w:fill="auto"/>
          </w:tcPr>
          <w:p w14:paraId="42C2A3AC" w14:textId="75A0C3CF" w:rsidR="00553CA2" w:rsidRDefault="00553CA2" w:rsidP="00FB7D63">
            <w:pPr>
              <w:spacing w:after="0" w:line="240" w:lineRule="auto"/>
              <w:rPr>
                <w:rFonts w:ascii="Garamond" w:eastAsia="Times New Roman" w:hAnsi="Garamond" w:cs="Times New Roman"/>
                <w:bCs/>
                <w:color w:val="000000"/>
                <w:sz w:val="20"/>
                <w:szCs w:val="20"/>
              </w:rPr>
            </w:pPr>
            <w:r>
              <w:rPr>
                <w:rFonts w:ascii="Garamond" w:eastAsia="Times New Roman" w:hAnsi="Garamond" w:cs="Times New Roman"/>
                <w:bCs/>
                <w:sz w:val="20"/>
                <w:szCs w:val="20"/>
              </w:rPr>
              <w:t>8</w:t>
            </w:r>
            <w:r>
              <w:rPr>
                <w:rFonts w:ascii="Garamond" w:eastAsia="Times New Roman" w:hAnsi="Garamond" w:cs="Times New Roman"/>
                <w:bCs/>
                <w:color w:val="000000"/>
                <w:sz w:val="20"/>
                <w:szCs w:val="20"/>
              </w:rPr>
              <w:t>.76% completed</w:t>
            </w:r>
          </w:p>
          <w:p w14:paraId="47922E3D" w14:textId="3384E086" w:rsidR="00553CA2" w:rsidRPr="00050504" w:rsidRDefault="00553CA2" w:rsidP="00FB7D63">
            <w:pPr>
              <w:spacing w:after="0" w:line="240" w:lineRule="auto"/>
              <w:rPr>
                <w:rFonts w:ascii="Garamond" w:eastAsia="Times New Roman" w:hAnsi="Garamond" w:cs="Times New Roman"/>
                <w:bCs/>
                <w:strike/>
                <w:color w:val="FF0000"/>
                <w:sz w:val="20"/>
                <w:szCs w:val="20"/>
              </w:rPr>
            </w:pPr>
          </w:p>
        </w:tc>
        <w:tc>
          <w:tcPr>
            <w:tcW w:w="818" w:type="pct"/>
            <w:tcBorders>
              <w:top w:val="nil"/>
              <w:left w:val="nil"/>
              <w:bottom w:val="single" w:sz="4" w:space="0" w:color="auto"/>
              <w:right w:val="single" w:sz="4" w:space="0" w:color="auto"/>
            </w:tcBorders>
            <w:shd w:val="clear" w:color="auto" w:fill="auto"/>
          </w:tcPr>
          <w:p w14:paraId="11BED7C3" w14:textId="29197696" w:rsidR="008D713D" w:rsidRDefault="008D713D" w:rsidP="00FB7D63">
            <w:pPr>
              <w:spacing w:after="0" w:line="240" w:lineRule="auto"/>
              <w:rPr>
                <w:rFonts w:ascii="Garamond" w:eastAsia="Times New Roman" w:hAnsi="Garamond" w:cs="Times New Roman"/>
                <w:color w:val="000000"/>
                <w:sz w:val="20"/>
                <w:szCs w:val="20"/>
              </w:rPr>
            </w:pPr>
            <w:r>
              <w:rPr>
                <w:rFonts w:ascii="Garamond" w:eastAsia="Times New Roman" w:hAnsi="Garamond" w:cs="Times New Roman"/>
                <w:color w:val="000000"/>
                <w:sz w:val="20"/>
                <w:szCs w:val="20"/>
              </w:rPr>
              <w:t>Percent completed in 3 years:</w:t>
            </w:r>
          </w:p>
          <w:p w14:paraId="4FA94363" w14:textId="0801F3C0" w:rsidR="00553CA2" w:rsidRDefault="008D713D" w:rsidP="00FB7D63">
            <w:pPr>
              <w:spacing w:after="0" w:line="240" w:lineRule="auto"/>
              <w:rPr>
                <w:rFonts w:ascii="Garamond" w:eastAsia="Times New Roman" w:hAnsi="Garamond" w:cs="Times New Roman"/>
                <w:color w:val="000000"/>
                <w:sz w:val="20"/>
                <w:szCs w:val="20"/>
              </w:rPr>
            </w:pPr>
            <w:r>
              <w:rPr>
                <w:rFonts w:ascii="Garamond" w:eastAsia="Times New Roman" w:hAnsi="Garamond" w:cs="Times New Roman"/>
                <w:color w:val="000000"/>
                <w:sz w:val="20"/>
                <w:szCs w:val="20"/>
              </w:rPr>
              <w:t>Green ≥</w:t>
            </w:r>
            <w:r w:rsidR="00553CA2">
              <w:rPr>
                <w:rFonts w:ascii="Garamond" w:eastAsia="Times New Roman" w:hAnsi="Garamond" w:cs="Times New Roman"/>
                <w:color w:val="000000"/>
                <w:sz w:val="20"/>
                <w:szCs w:val="20"/>
              </w:rPr>
              <w:t>14%</w:t>
            </w:r>
          </w:p>
          <w:p w14:paraId="2FD576C5" w14:textId="2B23ED95" w:rsidR="00553CA2" w:rsidRDefault="00553CA2" w:rsidP="00FB7D63">
            <w:pPr>
              <w:spacing w:after="0" w:line="240" w:lineRule="auto"/>
              <w:rPr>
                <w:rFonts w:ascii="Garamond" w:eastAsia="Times New Roman" w:hAnsi="Garamond" w:cs="Times New Roman"/>
                <w:color w:val="000000"/>
                <w:sz w:val="20"/>
                <w:szCs w:val="20"/>
              </w:rPr>
            </w:pPr>
            <w:r>
              <w:rPr>
                <w:rFonts w:ascii="Garamond" w:eastAsia="Times New Roman" w:hAnsi="Garamond" w:cs="Times New Roman"/>
                <w:color w:val="000000"/>
                <w:sz w:val="20"/>
                <w:szCs w:val="20"/>
              </w:rPr>
              <w:t xml:space="preserve">Yellow </w:t>
            </w:r>
            <w:r w:rsidR="00DD794B">
              <w:rPr>
                <w:rFonts w:ascii="Garamond" w:eastAsia="Times New Roman" w:hAnsi="Garamond" w:cs="Times New Roman"/>
                <w:color w:val="000000"/>
                <w:sz w:val="20"/>
                <w:szCs w:val="20"/>
              </w:rPr>
              <w:t>=</w:t>
            </w:r>
            <w:r>
              <w:rPr>
                <w:rFonts w:ascii="Garamond" w:eastAsia="Times New Roman" w:hAnsi="Garamond" w:cs="Times New Roman"/>
                <w:color w:val="000000"/>
                <w:sz w:val="20"/>
                <w:szCs w:val="20"/>
              </w:rPr>
              <w:t>10-13.9%</w:t>
            </w:r>
          </w:p>
          <w:p w14:paraId="4E04BC9E" w14:textId="6DE59543" w:rsidR="00553CA2" w:rsidRPr="00251E1F" w:rsidRDefault="00553CA2" w:rsidP="00FB7D63">
            <w:pPr>
              <w:spacing w:after="0" w:line="240" w:lineRule="auto"/>
              <w:rPr>
                <w:rFonts w:ascii="Garamond" w:eastAsia="Times New Roman" w:hAnsi="Garamond" w:cs="Times New Roman"/>
                <w:bCs/>
                <w:strike/>
                <w:color w:val="FF0000"/>
                <w:sz w:val="20"/>
                <w:szCs w:val="20"/>
              </w:rPr>
            </w:pPr>
            <w:r>
              <w:rPr>
                <w:rFonts w:ascii="Garamond" w:eastAsia="Times New Roman" w:hAnsi="Garamond" w:cs="Times New Roman"/>
                <w:color w:val="000000"/>
                <w:sz w:val="20"/>
                <w:szCs w:val="20"/>
              </w:rPr>
              <w:t>Red &lt;10%</w:t>
            </w:r>
          </w:p>
        </w:tc>
        <w:tc>
          <w:tcPr>
            <w:tcW w:w="790" w:type="pct"/>
            <w:tcBorders>
              <w:top w:val="nil"/>
              <w:left w:val="nil"/>
              <w:bottom w:val="single" w:sz="4" w:space="0" w:color="auto"/>
              <w:right w:val="single" w:sz="4" w:space="0" w:color="auto"/>
            </w:tcBorders>
          </w:tcPr>
          <w:p w14:paraId="26C4C6CD" w14:textId="7D102E5B" w:rsidR="00553CA2" w:rsidRPr="00AB75BA" w:rsidRDefault="00553CA2" w:rsidP="006015CC">
            <w:pPr>
              <w:spacing w:after="0" w:line="240" w:lineRule="auto"/>
              <w:rPr>
                <w:rFonts w:ascii="Garamond" w:eastAsia="Times New Roman" w:hAnsi="Garamond" w:cs="Times New Roman"/>
                <w:bCs/>
                <w:strike/>
                <w:sz w:val="20"/>
                <w:szCs w:val="20"/>
              </w:rPr>
            </w:pPr>
            <w:r w:rsidRPr="00AB75BA">
              <w:rPr>
                <w:rFonts w:ascii="Garamond" w:eastAsia="Times New Roman" w:hAnsi="Garamond" w:cs="Times New Roman"/>
                <w:sz w:val="20"/>
                <w:szCs w:val="20"/>
              </w:rPr>
              <w:t xml:space="preserve">Local </w:t>
            </w:r>
            <w:r w:rsidRPr="00AB75BA">
              <w:rPr>
                <w:rFonts w:ascii="Garamond" w:eastAsia="Times New Roman" w:hAnsi="Garamond" w:cs="Times New Roman"/>
                <w:bCs/>
                <w:sz w:val="20"/>
                <w:szCs w:val="20"/>
              </w:rPr>
              <w:t>benchmark</w:t>
            </w:r>
          </w:p>
        </w:tc>
        <w:tc>
          <w:tcPr>
            <w:tcW w:w="789" w:type="pct"/>
            <w:tcBorders>
              <w:top w:val="nil"/>
              <w:left w:val="nil"/>
              <w:bottom w:val="single" w:sz="4" w:space="0" w:color="auto"/>
              <w:right w:val="single" w:sz="4" w:space="0" w:color="auto"/>
            </w:tcBorders>
            <w:shd w:val="clear" w:color="auto" w:fill="00B050"/>
          </w:tcPr>
          <w:p w14:paraId="008E2CA1" w14:textId="77777777" w:rsidR="00553CA2" w:rsidRPr="00AB75BA" w:rsidRDefault="00553CA2" w:rsidP="006015CC">
            <w:pPr>
              <w:spacing w:after="0" w:line="240" w:lineRule="auto"/>
              <w:rPr>
                <w:rFonts w:ascii="Garamond" w:eastAsia="Times New Roman" w:hAnsi="Garamond" w:cs="Times New Roman"/>
                <w:sz w:val="20"/>
                <w:szCs w:val="20"/>
              </w:rPr>
            </w:pPr>
          </w:p>
        </w:tc>
      </w:tr>
      <w:tr w:rsidR="00553CA2" w:rsidRPr="00D3224A" w14:paraId="111115DD" w14:textId="6952BF1A" w:rsidTr="004129BF">
        <w:trPr>
          <w:trHeight w:val="630"/>
        </w:trPr>
        <w:tc>
          <w:tcPr>
            <w:tcW w:w="744" w:type="pct"/>
            <w:vMerge/>
            <w:tcBorders>
              <w:left w:val="single" w:sz="4" w:space="0" w:color="auto"/>
              <w:bottom w:val="single" w:sz="4" w:space="0" w:color="auto"/>
              <w:right w:val="nil"/>
            </w:tcBorders>
            <w:shd w:val="clear" w:color="auto" w:fill="auto"/>
            <w:vAlign w:val="bottom"/>
          </w:tcPr>
          <w:p w14:paraId="1C17F42F" w14:textId="2B3A1F70" w:rsidR="00553CA2" w:rsidRPr="00D3224A" w:rsidRDefault="00553CA2" w:rsidP="0080060D">
            <w:pPr>
              <w:spacing w:after="0" w:line="240" w:lineRule="auto"/>
              <w:rPr>
                <w:rFonts w:ascii="Garamond" w:eastAsia="Times New Roman" w:hAnsi="Garamond" w:cs="Times New Roman"/>
                <w:color w:val="000000"/>
                <w:sz w:val="20"/>
                <w:szCs w:val="20"/>
              </w:rPr>
            </w:pP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19C511E0" w14:textId="04A6B20B" w:rsidR="00553CA2" w:rsidRDefault="008D713D" w:rsidP="0080060D">
            <w:pPr>
              <w:spacing w:after="0" w:line="240" w:lineRule="auto"/>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Institution</w:t>
            </w:r>
            <w:r w:rsidR="00553CA2" w:rsidRPr="00D3224A">
              <w:rPr>
                <w:rFonts w:ascii="Garamond" w:eastAsia="Times New Roman" w:hAnsi="Garamond" w:cs="Times New Roman"/>
                <w:bCs/>
                <w:color w:val="000000"/>
                <w:sz w:val="20"/>
                <w:szCs w:val="20"/>
              </w:rPr>
              <w:t>-wide Credit Grade</w:t>
            </w:r>
            <w:r w:rsidR="00553CA2">
              <w:rPr>
                <w:rFonts w:ascii="Garamond" w:eastAsia="Times New Roman" w:hAnsi="Garamond" w:cs="Times New Roman"/>
                <w:bCs/>
                <w:color w:val="000000"/>
                <w:sz w:val="20"/>
                <w:szCs w:val="20"/>
              </w:rPr>
              <w:t>s</w:t>
            </w:r>
          </w:p>
          <w:p w14:paraId="5DFF6FF6" w14:textId="7AE34FB2" w:rsidR="00553CA2" w:rsidRPr="00251E1F" w:rsidRDefault="00553CA2" w:rsidP="0080060D">
            <w:pPr>
              <w:spacing w:after="0" w:line="240" w:lineRule="auto"/>
              <w:rPr>
                <w:rFonts w:ascii="Garamond" w:eastAsia="Times New Roman" w:hAnsi="Garamond" w:cs="Times New Roman"/>
                <w:bCs/>
                <w:strike/>
                <w:color w:val="FF0000"/>
                <w:sz w:val="20"/>
                <w:szCs w:val="20"/>
              </w:rPr>
            </w:pPr>
            <w:r>
              <w:rPr>
                <w:rFonts w:ascii="Garamond" w:eastAsia="Times New Roman" w:hAnsi="Garamond" w:cs="Times New Roman"/>
                <w:bCs/>
                <w:color w:val="000000"/>
                <w:sz w:val="20"/>
                <w:szCs w:val="20"/>
              </w:rPr>
              <w:t>Success Rates</w:t>
            </w:r>
            <w:r w:rsidRPr="00D3224A">
              <w:rPr>
                <w:rFonts w:ascii="Garamond" w:eastAsia="Times New Roman" w:hAnsi="Garamond" w:cs="Times New Roman"/>
                <w:bCs/>
                <w:color w:val="000000"/>
                <w:sz w:val="20"/>
                <w:szCs w:val="20"/>
              </w:rPr>
              <w:t xml:space="preserve"> (NCCBP Fall </w:t>
            </w:r>
            <w:r w:rsidRPr="00AB75BA">
              <w:rPr>
                <w:rFonts w:ascii="Garamond" w:eastAsia="Times New Roman" w:hAnsi="Garamond" w:cs="Times New Roman"/>
                <w:bCs/>
                <w:sz w:val="20"/>
                <w:szCs w:val="20"/>
              </w:rPr>
              <w:t>2013) – Completion Rates</w:t>
            </w:r>
          </w:p>
        </w:tc>
        <w:tc>
          <w:tcPr>
            <w:tcW w:w="981" w:type="pct"/>
            <w:tcBorders>
              <w:top w:val="single" w:sz="4" w:space="0" w:color="auto"/>
              <w:left w:val="nil"/>
              <w:bottom w:val="single" w:sz="4" w:space="0" w:color="auto"/>
              <w:right w:val="single" w:sz="4" w:space="0" w:color="auto"/>
            </w:tcBorders>
            <w:shd w:val="clear" w:color="auto" w:fill="auto"/>
          </w:tcPr>
          <w:p w14:paraId="24D5A127" w14:textId="77777777" w:rsidR="00553CA2" w:rsidRDefault="00553CA2" w:rsidP="0080060D">
            <w:pPr>
              <w:spacing w:after="0" w:line="240" w:lineRule="auto"/>
              <w:rPr>
                <w:rFonts w:ascii="Garamond" w:eastAsia="Times New Roman" w:hAnsi="Garamond" w:cs="Times New Roman"/>
                <w:bCs/>
                <w:color w:val="000000"/>
                <w:sz w:val="20"/>
                <w:szCs w:val="20"/>
              </w:rPr>
            </w:pPr>
            <w:r w:rsidRPr="00D3224A">
              <w:rPr>
                <w:rFonts w:ascii="Garamond" w:eastAsia="Times New Roman" w:hAnsi="Garamond" w:cs="Times New Roman"/>
                <w:bCs/>
                <w:color w:val="000000"/>
                <w:sz w:val="20"/>
                <w:szCs w:val="20"/>
              </w:rPr>
              <w:t>% Completed 92.06%</w:t>
            </w:r>
          </w:p>
          <w:p w14:paraId="1CA665BD" w14:textId="77777777" w:rsidR="00553CA2" w:rsidRDefault="00553CA2" w:rsidP="0080060D">
            <w:pPr>
              <w:spacing w:after="0" w:line="240" w:lineRule="auto"/>
              <w:rPr>
                <w:rFonts w:ascii="Garamond" w:eastAsia="Times New Roman" w:hAnsi="Garamond" w:cs="Times New Roman"/>
                <w:bCs/>
                <w:color w:val="000000"/>
                <w:sz w:val="20"/>
                <w:szCs w:val="20"/>
              </w:rPr>
            </w:pPr>
          </w:p>
          <w:p w14:paraId="4086FB13" w14:textId="77777777" w:rsidR="00553CA2" w:rsidRDefault="00553CA2" w:rsidP="0080060D">
            <w:pPr>
              <w:spacing w:after="0" w:line="240" w:lineRule="auto"/>
              <w:rPr>
                <w:rFonts w:ascii="Garamond" w:eastAsia="Times New Roman" w:hAnsi="Garamond" w:cs="Times New Roman"/>
                <w:bCs/>
                <w:color w:val="000000"/>
                <w:sz w:val="20"/>
                <w:szCs w:val="20"/>
              </w:rPr>
            </w:pPr>
          </w:p>
          <w:p w14:paraId="69BA622A" w14:textId="7561D46E" w:rsidR="00553CA2" w:rsidRDefault="00553CA2" w:rsidP="0080060D">
            <w:pPr>
              <w:spacing w:after="0" w:line="240" w:lineRule="auto"/>
              <w:rPr>
                <w:rFonts w:ascii="Garamond" w:eastAsia="Times New Roman" w:hAnsi="Garamond" w:cs="Times New Roman"/>
                <w:bCs/>
                <w:color w:val="000000"/>
                <w:sz w:val="20"/>
                <w:szCs w:val="20"/>
              </w:rPr>
            </w:pPr>
          </w:p>
          <w:p w14:paraId="53686989" w14:textId="77777777" w:rsidR="00553CA2" w:rsidRDefault="00553CA2" w:rsidP="0080060D">
            <w:pPr>
              <w:spacing w:after="0" w:line="240" w:lineRule="auto"/>
              <w:rPr>
                <w:rFonts w:ascii="Garamond" w:eastAsia="Times New Roman" w:hAnsi="Garamond" w:cs="Times New Roman"/>
                <w:bCs/>
                <w:color w:val="000000"/>
                <w:sz w:val="20"/>
                <w:szCs w:val="20"/>
              </w:rPr>
            </w:pPr>
          </w:p>
          <w:p w14:paraId="2B7715BF" w14:textId="20CD0E9C" w:rsidR="00553CA2" w:rsidRPr="00050504" w:rsidRDefault="00553CA2" w:rsidP="0020235D">
            <w:pPr>
              <w:spacing w:after="0" w:line="240" w:lineRule="auto"/>
              <w:rPr>
                <w:rFonts w:ascii="Garamond" w:eastAsia="Times New Roman" w:hAnsi="Garamond" w:cs="Times New Roman"/>
                <w:bCs/>
                <w:strike/>
                <w:color w:val="000000"/>
                <w:sz w:val="20"/>
                <w:szCs w:val="20"/>
              </w:rPr>
            </w:pPr>
          </w:p>
        </w:tc>
        <w:tc>
          <w:tcPr>
            <w:tcW w:w="818" w:type="pct"/>
            <w:tcBorders>
              <w:top w:val="single" w:sz="4" w:space="0" w:color="auto"/>
              <w:left w:val="nil"/>
              <w:bottom w:val="single" w:sz="4" w:space="0" w:color="auto"/>
              <w:right w:val="single" w:sz="4" w:space="0" w:color="auto"/>
            </w:tcBorders>
            <w:shd w:val="clear" w:color="auto" w:fill="auto"/>
          </w:tcPr>
          <w:p w14:paraId="3975AD93" w14:textId="77777777" w:rsidR="00553CA2" w:rsidRDefault="00553CA2" w:rsidP="0080060D">
            <w:pPr>
              <w:spacing w:after="0" w:line="240" w:lineRule="auto"/>
              <w:rPr>
                <w:rFonts w:ascii="Garamond" w:eastAsia="Times New Roman" w:hAnsi="Garamond" w:cs="Times New Roman"/>
                <w:color w:val="000000" w:themeColor="text1"/>
                <w:sz w:val="20"/>
                <w:szCs w:val="20"/>
              </w:rPr>
            </w:pPr>
            <w:r w:rsidRPr="00544701">
              <w:rPr>
                <w:rFonts w:ascii="Garamond" w:eastAsia="Times New Roman" w:hAnsi="Garamond" w:cs="Times New Roman"/>
                <w:color w:val="000000" w:themeColor="text1"/>
                <w:sz w:val="20"/>
                <w:szCs w:val="20"/>
              </w:rPr>
              <w:t>% Completed</w:t>
            </w:r>
          </w:p>
          <w:p w14:paraId="649B1473" w14:textId="693D0D13" w:rsidR="00553CA2" w:rsidRDefault="00553CA2" w:rsidP="0080060D">
            <w:pPr>
              <w:spacing w:after="0" w:line="240" w:lineRule="auto"/>
              <w:rPr>
                <w:rFonts w:ascii="Garamond" w:eastAsia="Times New Roman" w:hAnsi="Garamond" w:cs="Times New Roman"/>
                <w:color w:val="000000" w:themeColor="text1"/>
                <w:sz w:val="20"/>
                <w:szCs w:val="20"/>
              </w:rPr>
            </w:pPr>
            <w:r>
              <w:rPr>
                <w:rFonts w:ascii="Garamond" w:eastAsia="Times New Roman" w:hAnsi="Garamond" w:cs="Times New Roman"/>
                <w:color w:val="000000" w:themeColor="text1"/>
                <w:sz w:val="20"/>
                <w:szCs w:val="20"/>
              </w:rPr>
              <w:t>Green &gt;91%</w:t>
            </w:r>
          </w:p>
          <w:p w14:paraId="1F0B24D2" w14:textId="1C5E35D0" w:rsidR="00553CA2" w:rsidRDefault="00553CA2" w:rsidP="0080060D">
            <w:pPr>
              <w:spacing w:after="0" w:line="240" w:lineRule="auto"/>
              <w:rPr>
                <w:rFonts w:ascii="Garamond" w:eastAsia="Times New Roman" w:hAnsi="Garamond" w:cs="Times New Roman"/>
                <w:color w:val="000000" w:themeColor="text1"/>
                <w:sz w:val="20"/>
                <w:szCs w:val="20"/>
              </w:rPr>
            </w:pPr>
            <w:r>
              <w:rPr>
                <w:rFonts w:ascii="Garamond" w:eastAsia="Times New Roman" w:hAnsi="Garamond" w:cs="Times New Roman"/>
                <w:color w:val="000000" w:themeColor="text1"/>
                <w:sz w:val="20"/>
                <w:szCs w:val="20"/>
              </w:rPr>
              <w:t xml:space="preserve">Yellow </w:t>
            </w:r>
            <w:r w:rsidR="00DD794B">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84.5-91%</w:t>
            </w:r>
          </w:p>
          <w:p w14:paraId="6693CB5F" w14:textId="1F0D6598" w:rsidR="00553CA2" w:rsidRDefault="00553CA2" w:rsidP="0080060D">
            <w:pPr>
              <w:spacing w:after="0" w:line="240" w:lineRule="auto"/>
              <w:rPr>
                <w:rFonts w:ascii="Garamond" w:eastAsia="Times New Roman" w:hAnsi="Garamond" w:cs="Times New Roman"/>
                <w:color w:val="000000" w:themeColor="text1"/>
                <w:sz w:val="20"/>
                <w:szCs w:val="20"/>
              </w:rPr>
            </w:pPr>
            <w:r>
              <w:rPr>
                <w:rFonts w:ascii="Garamond" w:eastAsia="Times New Roman" w:hAnsi="Garamond" w:cs="Times New Roman"/>
                <w:color w:val="000000" w:themeColor="text1"/>
                <w:sz w:val="20"/>
                <w:szCs w:val="20"/>
              </w:rPr>
              <w:t>Red</w:t>
            </w:r>
            <w:r w:rsidRPr="00544701">
              <w:rPr>
                <w:rFonts w:ascii="Garamond" w:eastAsia="Times New Roman" w:hAnsi="Garamond" w:cs="Times New Roman"/>
                <w:color w:val="000000" w:themeColor="text1"/>
                <w:sz w:val="20"/>
                <w:szCs w:val="20"/>
              </w:rPr>
              <w:t xml:space="preserve"> </w:t>
            </w:r>
            <w:r>
              <w:rPr>
                <w:rFonts w:ascii="Garamond" w:eastAsia="Times New Roman" w:hAnsi="Garamond" w:cs="Times New Roman"/>
                <w:color w:val="000000" w:themeColor="text1"/>
                <w:sz w:val="20"/>
                <w:szCs w:val="20"/>
              </w:rPr>
              <w:t>&lt;</w:t>
            </w:r>
            <w:r w:rsidR="008539FD">
              <w:rPr>
                <w:rFonts w:ascii="Garamond" w:eastAsia="Times New Roman" w:hAnsi="Garamond" w:cs="Times New Roman"/>
                <w:color w:val="000000" w:themeColor="text1"/>
                <w:sz w:val="20"/>
                <w:szCs w:val="20"/>
              </w:rPr>
              <w:t>84.5</w:t>
            </w:r>
            <w:r w:rsidRPr="00544701">
              <w:rPr>
                <w:rFonts w:ascii="Garamond" w:eastAsia="Times New Roman" w:hAnsi="Garamond" w:cs="Times New Roman"/>
                <w:color w:val="000000" w:themeColor="text1"/>
                <w:sz w:val="20"/>
                <w:szCs w:val="20"/>
              </w:rPr>
              <w:t>%</w:t>
            </w:r>
          </w:p>
          <w:p w14:paraId="685C08EB" w14:textId="77777777" w:rsidR="00553CA2" w:rsidRDefault="00553CA2" w:rsidP="007E4A19">
            <w:pPr>
              <w:spacing w:after="0" w:line="240" w:lineRule="auto"/>
              <w:rPr>
                <w:rFonts w:ascii="Garamond" w:eastAsia="Times New Roman" w:hAnsi="Garamond" w:cs="Times New Roman"/>
                <w:color w:val="000000" w:themeColor="text1"/>
                <w:sz w:val="20"/>
                <w:szCs w:val="20"/>
              </w:rPr>
            </w:pPr>
          </w:p>
          <w:p w14:paraId="128A1103" w14:textId="1846191B" w:rsidR="00553CA2" w:rsidRPr="00544701" w:rsidRDefault="00553CA2" w:rsidP="00050504">
            <w:pPr>
              <w:spacing w:after="0" w:line="240" w:lineRule="auto"/>
              <w:rPr>
                <w:rFonts w:ascii="Garamond" w:eastAsia="Times New Roman" w:hAnsi="Garamond" w:cs="Times New Roman"/>
                <w:color w:val="000000" w:themeColor="text1"/>
                <w:sz w:val="20"/>
                <w:szCs w:val="20"/>
              </w:rPr>
            </w:pPr>
          </w:p>
        </w:tc>
        <w:tc>
          <w:tcPr>
            <w:tcW w:w="790" w:type="pct"/>
            <w:tcBorders>
              <w:top w:val="single" w:sz="4" w:space="0" w:color="auto"/>
              <w:left w:val="nil"/>
              <w:bottom w:val="single" w:sz="4" w:space="0" w:color="auto"/>
              <w:right w:val="single" w:sz="4" w:space="0" w:color="auto"/>
            </w:tcBorders>
          </w:tcPr>
          <w:p w14:paraId="55BB64A6" w14:textId="32CD108C" w:rsidR="00553CA2" w:rsidRPr="00AB75BA" w:rsidRDefault="00553CA2" w:rsidP="0080060D">
            <w:pPr>
              <w:spacing w:after="0" w:line="240" w:lineRule="auto"/>
              <w:rPr>
                <w:rFonts w:ascii="Garamond" w:eastAsia="Times New Roman" w:hAnsi="Garamond" w:cs="Times New Roman"/>
                <w:bCs/>
                <w:strike/>
                <w:sz w:val="20"/>
                <w:szCs w:val="20"/>
              </w:rPr>
            </w:pPr>
            <w:r w:rsidRPr="00AB75BA">
              <w:rPr>
                <w:rFonts w:ascii="Garamond" w:eastAsia="Times New Roman" w:hAnsi="Garamond" w:cs="Times New Roman"/>
                <w:sz w:val="20"/>
                <w:szCs w:val="20"/>
              </w:rPr>
              <w:t>Local benchmark</w:t>
            </w:r>
          </w:p>
        </w:tc>
        <w:tc>
          <w:tcPr>
            <w:tcW w:w="789" w:type="pct"/>
            <w:tcBorders>
              <w:top w:val="single" w:sz="4" w:space="0" w:color="auto"/>
              <w:left w:val="nil"/>
              <w:bottom w:val="single" w:sz="4" w:space="0" w:color="auto"/>
              <w:right w:val="single" w:sz="4" w:space="0" w:color="auto"/>
            </w:tcBorders>
            <w:shd w:val="clear" w:color="auto" w:fill="00B050"/>
          </w:tcPr>
          <w:p w14:paraId="267A4581" w14:textId="77777777" w:rsidR="00553CA2" w:rsidRPr="00AB75BA" w:rsidRDefault="00553CA2" w:rsidP="0080060D">
            <w:pPr>
              <w:spacing w:after="0" w:line="240" w:lineRule="auto"/>
              <w:rPr>
                <w:rFonts w:ascii="Garamond" w:eastAsia="Times New Roman" w:hAnsi="Garamond" w:cs="Times New Roman"/>
                <w:sz w:val="20"/>
                <w:szCs w:val="20"/>
              </w:rPr>
            </w:pPr>
          </w:p>
        </w:tc>
      </w:tr>
      <w:tr w:rsidR="00553CA2" w:rsidRPr="00D3224A" w14:paraId="2A6D5C76" w14:textId="3BC92ADF" w:rsidTr="004129BF">
        <w:trPr>
          <w:trHeight w:val="630"/>
        </w:trPr>
        <w:tc>
          <w:tcPr>
            <w:tcW w:w="744" w:type="pct"/>
            <w:tcBorders>
              <w:top w:val="single" w:sz="4" w:space="0" w:color="auto"/>
              <w:left w:val="single" w:sz="4" w:space="0" w:color="auto"/>
              <w:right w:val="nil"/>
            </w:tcBorders>
            <w:shd w:val="clear" w:color="auto" w:fill="auto"/>
            <w:vAlign w:val="bottom"/>
          </w:tcPr>
          <w:p w14:paraId="27A3682E" w14:textId="77777777" w:rsidR="00553CA2" w:rsidRPr="00D3224A" w:rsidRDefault="00553CA2" w:rsidP="0080060D">
            <w:pPr>
              <w:spacing w:after="0" w:line="240" w:lineRule="auto"/>
              <w:rPr>
                <w:rFonts w:ascii="Garamond" w:eastAsia="Times New Roman" w:hAnsi="Garamond" w:cs="Times New Roman"/>
                <w:color w:val="000000"/>
                <w:sz w:val="20"/>
                <w:szCs w:val="20"/>
              </w:rPr>
            </w:pP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00D81C73" w14:textId="16C5CB68" w:rsidR="00553CA2" w:rsidRDefault="008D713D" w:rsidP="00050504">
            <w:pPr>
              <w:spacing w:after="0" w:line="240" w:lineRule="auto"/>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Institution</w:t>
            </w:r>
            <w:r w:rsidR="00553CA2" w:rsidRPr="00D3224A">
              <w:rPr>
                <w:rFonts w:ascii="Garamond" w:eastAsia="Times New Roman" w:hAnsi="Garamond" w:cs="Times New Roman"/>
                <w:bCs/>
                <w:color w:val="000000"/>
                <w:sz w:val="20"/>
                <w:szCs w:val="20"/>
              </w:rPr>
              <w:t>-wide Credit Grade</w:t>
            </w:r>
            <w:r w:rsidR="00553CA2">
              <w:rPr>
                <w:rFonts w:ascii="Garamond" w:eastAsia="Times New Roman" w:hAnsi="Garamond" w:cs="Times New Roman"/>
                <w:bCs/>
                <w:color w:val="000000"/>
                <w:sz w:val="20"/>
                <w:szCs w:val="20"/>
              </w:rPr>
              <w:t>s</w:t>
            </w:r>
          </w:p>
          <w:p w14:paraId="42E0819B" w14:textId="1A6D405C" w:rsidR="00553CA2" w:rsidRPr="00D3224A" w:rsidRDefault="00553CA2" w:rsidP="00050504">
            <w:pPr>
              <w:spacing w:after="0" w:line="240" w:lineRule="auto"/>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Success Rates</w:t>
            </w:r>
            <w:r w:rsidRPr="00D3224A">
              <w:rPr>
                <w:rFonts w:ascii="Garamond" w:eastAsia="Times New Roman" w:hAnsi="Garamond" w:cs="Times New Roman"/>
                <w:bCs/>
                <w:color w:val="000000"/>
                <w:sz w:val="20"/>
                <w:szCs w:val="20"/>
              </w:rPr>
              <w:t xml:space="preserve"> (NCCBP Fall 2013</w:t>
            </w:r>
            <w:r w:rsidRPr="00AB75BA">
              <w:rPr>
                <w:rFonts w:ascii="Garamond" w:eastAsia="Times New Roman" w:hAnsi="Garamond" w:cs="Times New Roman"/>
                <w:bCs/>
                <w:sz w:val="20"/>
                <w:szCs w:val="20"/>
              </w:rPr>
              <w:t>) – Passing Rates</w:t>
            </w:r>
          </w:p>
        </w:tc>
        <w:tc>
          <w:tcPr>
            <w:tcW w:w="981" w:type="pct"/>
            <w:tcBorders>
              <w:top w:val="single" w:sz="4" w:space="0" w:color="auto"/>
              <w:left w:val="nil"/>
              <w:bottom w:val="single" w:sz="4" w:space="0" w:color="auto"/>
              <w:right w:val="single" w:sz="4" w:space="0" w:color="auto"/>
            </w:tcBorders>
            <w:shd w:val="clear" w:color="auto" w:fill="auto"/>
          </w:tcPr>
          <w:p w14:paraId="39D8E96E" w14:textId="37B69B91" w:rsidR="00553CA2" w:rsidRDefault="00553CA2" w:rsidP="00050504">
            <w:pPr>
              <w:spacing w:after="0" w:line="240" w:lineRule="auto"/>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Percent Students that received a passing grade that enrolled in credit courses. 70.96%</w:t>
            </w:r>
          </w:p>
        </w:tc>
        <w:tc>
          <w:tcPr>
            <w:tcW w:w="818" w:type="pct"/>
            <w:tcBorders>
              <w:top w:val="single" w:sz="4" w:space="0" w:color="auto"/>
              <w:left w:val="nil"/>
              <w:bottom w:val="single" w:sz="4" w:space="0" w:color="auto"/>
              <w:right w:val="single" w:sz="4" w:space="0" w:color="auto"/>
            </w:tcBorders>
            <w:shd w:val="clear" w:color="auto" w:fill="auto"/>
          </w:tcPr>
          <w:p w14:paraId="1F64E5B4" w14:textId="77777777" w:rsidR="00553CA2" w:rsidRPr="00AB75BA" w:rsidRDefault="00553CA2" w:rsidP="00050504">
            <w:pPr>
              <w:spacing w:after="0" w:line="240" w:lineRule="auto"/>
              <w:rPr>
                <w:rFonts w:ascii="Garamond" w:eastAsia="Times New Roman" w:hAnsi="Garamond" w:cs="Times New Roman"/>
                <w:sz w:val="20"/>
                <w:szCs w:val="20"/>
              </w:rPr>
            </w:pPr>
            <w:r w:rsidRPr="00AB75BA">
              <w:rPr>
                <w:rFonts w:ascii="Garamond" w:eastAsia="Times New Roman" w:hAnsi="Garamond" w:cs="Times New Roman"/>
                <w:sz w:val="20"/>
                <w:szCs w:val="20"/>
              </w:rPr>
              <w:t>% Passing Grade (A, B, C, Pass)</w:t>
            </w:r>
          </w:p>
          <w:p w14:paraId="7CCCF1B8" w14:textId="77777777" w:rsidR="00553CA2" w:rsidRPr="00AB75BA" w:rsidRDefault="00553CA2" w:rsidP="00050504">
            <w:pPr>
              <w:spacing w:after="0" w:line="240" w:lineRule="auto"/>
              <w:rPr>
                <w:rFonts w:ascii="Garamond" w:eastAsia="Times New Roman" w:hAnsi="Garamond" w:cs="Times New Roman"/>
                <w:sz w:val="20"/>
                <w:szCs w:val="20"/>
              </w:rPr>
            </w:pPr>
            <w:r w:rsidRPr="00AB75BA">
              <w:rPr>
                <w:rFonts w:ascii="Garamond" w:eastAsia="Times New Roman" w:hAnsi="Garamond" w:cs="Times New Roman"/>
                <w:sz w:val="20"/>
                <w:szCs w:val="20"/>
              </w:rPr>
              <w:t>Green &gt;71%</w:t>
            </w:r>
          </w:p>
          <w:p w14:paraId="5D621D0C" w14:textId="65432761" w:rsidR="00553CA2" w:rsidRPr="00AB75BA" w:rsidRDefault="00553CA2" w:rsidP="00050504">
            <w:pPr>
              <w:spacing w:after="0" w:line="240" w:lineRule="auto"/>
              <w:rPr>
                <w:rFonts w:ascii="Garamond" w:eastAsia="Times New Roman" w:hAnsi="Garamond" w:cs="Times New Roman"/>
                <w:sz w:val="20"/>
                <w:szCs w:val="20"/>
              </w:rPr>
            </w:pPr>
            <w:r w:rsidRPr="00AB75BA">
              <w:rPr>
                <w:rFonts w:ascii="Garamond" w:eastAsia="Times New Roman" w:hAnsi="Garamond" w:cs="Times New Roman"/>
                <w:sz w:val="20"/>
                <w:szCs w:val="20"/>
              </w:rPr>
              <w:t xml:space="preserve">Yellow </w:t>
            </w:r>
            <w:r w:rsidR="00DD794B">
              <w:rPr>
                <w:rFonts w:ascii="Garamond" w:eastAsia="Times New Roman" w:hAnsi="Garamond" w:cs="Times New Roman"/>
                <w:sz w:val="20"/>
                <w:szCs w:val="20"/>
              </w:rPr>
              <w:t>=</w:t>
            </w:r>
            <w:r w:rsidRPr="00AB75BA">
              <w:rPr>
                <w:rFonts w:ascii="Garamond" w:eastAsia="Times New Roman" w:hAnsi="Garamond" w:cs="Times New Roman"/>
                <w:sz w:val="20"/>
                <w:szCs w:val="20"/>
              </w:rPr>
              <w:t>69-70.9%</w:t>
            </w:r>
          </w:p>
          <w:p w14:paraId="18014348" w14:textId="77777777" w:rsidR="00553CA2" w:rsidRPr="00AB75BA" w:rsidRDefault="00553CA2" w:rsidP="00050504">
            <w:pPr>
              <w:spacing w:after="0" w:line="240" w:lineRule="auto"/>
              <w:rPr>
                <w:rFonts w:ascii="Garamond" w:eastAsia="Times New Roman" w:hAnsi="Garamond" w:cs="Times New Roman"/>
                <w:sz w:val="20"/>
                <w:szCs w:val="20"/>
              </w:rPr>
            </w:pPr>
            <w:r w:rsidRPr="00AB75BA">
              <w:rPr>
                <w:rFonts w:ascii="Garamond" w:eastAsia="Times New Roman" w:hAnsi="Garamond" w:cs="Times New Roman"/>
                <w:sz w:val="20"/>
                <w:szCs w:val="20"/>
              </w:rPr>
              <w:t>Red &lt;69%</w:t>
            </w:r>
          </w:p>
          <w:p w14:paraId="517FFDCC" w14:textId="77777777" w:rsidR="00553CA2" w:rsidRPr="00AB75BA" w:rsidRDefault="00553CA2" w:rsidP="0080060D">
            <w:pPr>
              <w:spacing w:after="0" w:line="240" w:lineRule="auto"/>
              <w:rPr>
                <w:rFonts w:ascii="Garamond" w:eastAsia="Times New Roman" w:hAnsi="Garamond" w:cs="Times New Roman"/>
                <w:sz w:val="20"/>
                <w:szCs w:val="20"/>
              </w:rPr>
            </w:pPr>
          </w:p>
        </w:tc>
        <w:tc>
          <w:tcPr>
            <w:tcW w:w="790" w:type="pct"/>
            <w:tcBorders>
              <w:top w:val="single" w:sz="4" w:space="0" w:color="auto"/>
              <w:left w:val="nil"/>
              <w:bottom w:val="single" w:sz="4" w:space="0" w:color="auto"/>
              <w:right w:val="single" w:sz="4" w:space="0" w:color="auto"/>
            </w:tcBorders>
          </w:tcPr>
          <w:p w14:paraId="363856F9" w14:textId="50B2F793" w:rsidR="00553CA2" w:rsidRPr="00AB75BA" w:rsidRDefault="00553CA2" w:rsidP="0080060D">
            <w:pPr>
              <w:spacing w:after="0" w:line="240" w:lineRule="auto"/>
              <w:rPr>
                <w:rFonts w:ascii="Garamond" w:eastAsia="Times New Roman" w:hAnsi="Garamond" w:cs="Times New Roman"/>
                <w:strike/>
                <w:sz w:val="20"/>
                <w:szCs w:val="20"/>
              </w:rPr>
            </w:pPr>
            <w:r w:rsidRPr="00AB75BA">
              <w:rPr>
                <w:rFonts w:ascii="Garamond" w:eastAsia="Times New Roman" w:hAnsi="Garamond" w:cs="Times New Roman"/>
                <w:sz w:val="20"/>
                <w:szCs w:val="20"/>
              </w:rPr>
              <w:t>Local benchmark</w:t>
            </w:r>
          </w:p>
        </w:tc>
        <w:tc>
          <w:tcPr>
            <w:tcW w:w="789" w:type="pct"/>
            <w:tcBorders>
              <w:top w:val="single" w:sz="4" w:space="0" w:color="auto"/>
              <w:left w:val="nil"/>
              <w:bottom w:val="single" w:sz="4" w:space="0" w:color="auto"/>
              <w:right w:val="single" w:sz="4" w:space="0" w:color="auto"/>
            </w:tcBorders>
            <w:shd w:val="clear" w:color="auto" w:fill="00B050"/>
          </w:tcPr>
          <w:p w14:paraId="2F7E9204" w14:textId="77777777" w:rsidR="00553CA2" w:rsidRPr="00AB75BA" w:rsidRDefault="00553CA2" w:rsidP="0080060D">
            <w:pPr>
              <w:spacing w:after="0" w:line="240" w:lineRule="auto"/>
              <w:rPr>
                <w:rFonts w:ascii="Garamond" w:eastAsia="Times New Roman" w:hAnsi="Garamond" w:cs="Times New Roman"/>
                <w:sz w:val="20"/>
                <w:szCs w:val="20"/>
              </w:rPr>
            </w:pPr>
          </w:p>
        </w:tc>
      </w:tr>
      <w:tr w:rsidR="003B2BE0" w:rsidRPr="00D3224A" w14:paraId="2C940CC9" w14:textId="77777777" w:rsidTr="004129BF">
        <w:trPr>
          <w:trHeight w:val="630"/>
        </w:trPr>
        <w:tc>
          <w:tcPr>
            <w:tcW w:w="744" w:type="pct"/>
            <w:tcBorders>
              <w:left w:val="single" w:sz="4" w:space="0" w:color="auto"/>
              <w:bottom w:val="single" w:sz="4" w:space="0" w:color="auto"/>
              <w:right w:val="nil"/>
            </w:tcBorders>
            <w:shd w:val="clear" w:color="auto" w:fill="auto"/>
            <w:vAlign w:val="bottom"/>
          </w:tcPr>
          <w:p w14:paraId="2E411810" w14:textId="77777777" w:rsidR="003B2BE0" w:rsidRPr="00D3224A" w:rsidRDefault="003B2BE0" w:rsidP="0080060D">
            <w:pPr>
              <w:spacing w:after="0" w:line="240" w:lineRule="auto"/>
              <w:rPr>
                <w:rFonts w:ascii="Garamond" w:eastAsia="Times New Roman" w:hAnsi="Garamond" w:cs="Times New Roman"/>
                <w:color w:val="000000"/>
                <w:sz w:val="20"/>
                <w:szCs w:val="20"/>
              </w:rPr>
            </w:pPr>
          </w:p>
        </w:tc>
        <w:tc>
          <w:tcPr>
            <w:tcW w:w="878" w:type="pct"/>
            <w:tcBorders>
              <w:top w:val="single" w:sz="4" w:space="0" w:color="auto"/>
              <w:left w:val="single" w:sz="4" w:space="0" w:color="auto"/>
              <w:bottom w:val="single" w:sz="4" w:space="0" w:color="auto"/>
              <w:right w:val="single" w:sz="4" w:space="0" w:color="auto"/>
            </w:tcBorders>
            <w:shd w:val="clear" w:color="auto" w:fill="auto"/>
          </w:tcPr>
          <w:p w14:paraId="1244F1BC" w14:textId="6C039DC7" w:rsidR="003B2BE0" w:rsidRPr="00D3224A" w:rsidRDefault="003B2BE0" w:rsidP="00050504">
            <w:pPr>
              <w:spacing w:after="0" w:line="240" w:lineRule="auto"/>
              <w:rPr>
                <w:rFonts w:ascii="Garamond" w:eastAsia="Times New Roman" w:hAnsi="Garamond" w:cs="Times New Roman"/>
                <w:bCs/>
                <w:color w:val="000000"/>
                <w:sz w:val="20"/>
                <w:szCs w:val="20"/>
              </w:rPr>
            </w:pPr>
            <w:r w:rsidRPr="00D3224A">
              <w:rPr>
                <w:rFonts w:ascii="Garamond" w:eastAsia="Times New Roman" w:hAnsi="Garamond" w:cs="Times New Roman"/>
                <w:bCs/>
                <w:color w:val="000000"/>
                <w:sz w:val="20"/>
                <w:szCs w:val="20"/>
              </w:rPr>
              <w:t>Meeting or exceeding Accreditation Standard</w:t>
            </w:r>
            <w:r>
              <w:rPr>
                <w:rFonts w:ascii="Garamond" w:eastAsia="Times New Roman" w:hAnsi="Garamond" w:cs="Times New Roman"/>
                <w:bCs/>
                <w:color w:val="000000"/>
                <w:sz w:val="20"/>
                <w:szCs w:val="20"/>
              </w:rPr>
              <w:t>s</w:t>
            </w:r>
          </w:p>
        </w:tc>
        <w:tc>
          <w:tcPr>
            <w:tcW w:w="981" w:type="pct"/>
            <w:tcBorders>
              <w:top w:val="single" w:sz="4" w:space="0" w:color="auto"/>
              <w:left w:val="nil"/>
              <w:bottom w:val="single" w:sz="4" w:space="0" w:color="auto"/>
              <w:right w:val="single" w:sz="4" w:space="0" w:color="auto"/>
            </w:tcBorders>
            <w:shd w:val="clear" w:color="auto" w:fill="auto"/>
          </w:tcPr>
          <w:p w14:paraId="79FA7D8E" w14:textId="61C8CD42" w:rsidR="003B2BE0" w:rsidRDefault="003B2BE0" w:rsidP="00050504">
            <w:pPr>
              <w:spacing w:after="0" w:line="240" w:lineRule="auto"/>
              <w:rPr>
                <w:rFonts w:ascii="Garamond" w:eastAsia="Times New Roman" w:hAnsi="Garamond" w:cs="Times New Roman"/>
                <w:bCs/>
                <w:color w:val="000000"/>
                <w:sz w:val="20"/>
                <w:szCs w:val="20"/>
              </w:rPr>
            </w:pPr>
            <w:r w:rsidRPr="00D3224A">
              <w:rPr>
                <w:rFonts w:ascii="Garamond" w:eastAsia="Times New Roman" w:hAnsi="Garamond" w:cs="Times New Roman"/>
                <w:bCs/>
                <w:color w:val="000000"/>
                <w:sz w:val="20"/>
                <w:szCs w:val="20"/>
              </w:rPr>
              <w:t xml:space="preserve">Accreditation Status </w:t>
            </w:r>
            <w:r>
              <w:rPr>
                <w:rFonts w:ascii="Garamond" w:eastAsia="Times New Roman" w:hAnsi="Garamond" w:cs="Times New Roman"/>
                <w:bCs/>
                <w:color w:val="000000"/>
                <w:sz w:val="20"/>
                <w:szCs w:val="20"/>
              </w:rPr>
              <w:t>–</w:t>
            </w:r>
            <w:r w:rsidRPr="00D3224A">
              <w:rPr>
                <w:rFonts w:ascii="Garamond" w:eastAsia="Times New Roman" w:hAnsi="Garamond" w:cs="Times New Roman"/>
                <w:bCs/>
                <w:color w:val="000000"/>
                <w:sz w:val="20"/>
                <w:szCs w:val="20"/>
              </w:rPr>
              <w:t xml:space="preserve"> </w:t>
            </w:r>
            <w:r>
              <w:rPr>
                <w:rFonts w:ascii="Garamond" w:eastAsia="Times New Roman" w:hAnsi="Garamond" w:cs="Times New Roman"/>
                <w:bCs/>
                <w:color w:val="000000"/>
                <w:sz w:val="20"/>
                <w:szCs w:val="20"/>
              </w:rPr>
              <w:t>US Regional Accreditation</w:t>
            </w:r>
            <w:r w:rsidRPr="00D3224A">
              <w:rPr>
                <w:rFonts w:ascii="Garamond" w:eastAsia="Times New Roman" w:hAnsi="Garamond" w:cs="Times New Roman"/>
                <w:bCs/>
                <w:color w:val="000000"/>
                <w:sz w:val="20"/>
                <w:szCs w:val="20"/>
              </w:rPr>
              <w:t xml:space="preserve"> </w:t>
            </w:r>
          </w:p>
        </w:tc>
        <w:tc>
          <w:tcPr>
            <w:tcW w:w="818" w:type="pct"/>
            <w:tcBorders>
              <w:top w:val="single" w:sz="4" w:space="0" w:color="auto"/>
              <w:left w:val="nil"/>
              <w:bottom w:val="single" w:sz="4" w:space="0" w:color="auto"/>
              <w:right w:val="single" w:sz="4" w:space="0" w:color="auto"/>
            </w:tcBorders>
            <w:shd w:val="clear" w:color="auto" w:fill="auto"/>
          </w:tcPr>
          <w:p w14:paraId="6F774174" w14:textId="77777777" w:rsidR="003B2BE0" w:rsidRDefault="003B2BE0" w:rsidP="00E41700">
            <w:pPr>
              <w:spacing w:after="0" w:line="240" w:lineRule="auto"/>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Green = Regional accreditation without sanction</w:t>
            </w:r>
          </w:p>
          <w:p w14:paraId="5C4AA4A1" w14:textId="77777777" w:rsidR="00DD794B" w:rsidRDefault="00DD794B" w:rsidP="00E41700">
            <w:pPr>
              <w:spacing w:after="0" w:line="240" w:lineRule="auto"/>
              <w:rPr>
                <w:rFonts w:ascii="Garamond" w:eastAsia="Times New Roman" w:hAnsi="Garamond" w:cs="Times New Roman"/>
                <w:bCs/>
                <w:color w:val="000000"/>
                <w:sz w:val="20"/>
                <w:szCs w:val="20"/>
              </w:rPr>
            </w:pPr>
          </w:p>
          <w:p w14:paraId="4D16EF3C" w14:textId="77777777" w:rsidR="003B2BE0" w:rsidRDefault="003B2BE0" w:rsidP="00E41700">
            <w:pPr>
              <w:spacing w:after="0" w:line="240" w:lineRule="auto"/>
              <w:rPr>
                <w:rFonts w:ascii="Garamond" w:eastAsia="Times New Roman" w:hAnsi="Garamond" w:cs="Times New Roman"/>
                <w:bCs/>
                <w:color w:val="000000"/>
                <w:sz w:val="20"/>
                <w:szCs w:val="20"/>
              </w:rPr>
            </w:pPr>
            <w:r>
              <w:rPr>
                <w:rFonts w:ascii="Garamond" w:eastAsia="Times New Roman" w:hAnsi="Garamond" w:cs="Times New Roman"/>
                <w:bCs/>
                <w:color w:val="000000"/>
                <w:sz w:val="20"/>
                <w:szCs w:val="20"/>
              </w:rPr>
              <w:t>Yellow = Regional accreditation with warning status</w:t>
            </w:r>
          </w:p>
          <w:p w14:paraId="369AA003" w14:textId="77777777" w:rsidR="00DD794B" w:rsidRDefault="00DD794B" w:rsidP="00E41700">
            <w:pPr>
              <w:spacing w:after="0" w:line="240" w:lineRule="auto"/>
              <w:rPr>
                <w:rFonts w:ascii="Garamond" w:eastAsia="Times New Roman" w:hAnsi="Garamond" w:cs="Times New Roman"/>
                <w:bCs/>
                <w:color w:val="000000"/>
                <w:sz w:val="20"/>
                <w:szCs w:val="20"/>
              </w:rPr>
            </w:pPr>
          </w:p>
          <w:p w14:paraId="19AF9CA3" w14:textId="03E4A073" w:rsidR="003B2BE0" w:rsidRPr="00AB75BA" w:rsidRDefault="003B2BE0" w:rsidP="00050504">
            <w:pPr>
              <w:spacing w:after="0" w:line="240" w:lineRule="auto"/>
              <w:rPr>
                <w:rFonts w:ascii="Garamond" w:eastAsia="Times New Roman" w:hAnsi="Garamond" w:cs="Times New Roman"/>
                <w:sz w:val="20"/>
                <w:szCs w:val="20"/>
              </w:rPr>
            </w:pPr>
            <w:r>
              <w:rPr>
                <w:rFonts w:ascii="Garamond" w:eastAsia="Times New Roman" w:hAnsi="Garamond" w:cs="Times New Roman"/>
                <w:bCs/>
                <w:color w:val="000000"/>
                <w:sz w:val="20"/>
                <w:szCs w:val="20"/>
              </w:rPr>
              <w:t>Red =Regional accreditation with probation or show cause status</w:t>
            </w:r>
          </w:p>
        </w:tc>
        <w:tc>
          <w:tcPr>
            <w:tcW w:w="790" w:type="pct"/>
            <w:tcBorders>
              <w:top w:val="single" w:sz="4" w:space="0" w:color="auto"/>
              <w:left w:val="nil"/>
              <w:bottom w:val="single" w:sz="4" w:space="0" w:color="auto"/>
              <w:right w:val="single" w:sz="4" w:space="0" w:color="auto"/>
            </w:tcBorders>
          </w:tcPr>
          <w:p w14:paraId="0118C9FF" w14:textId="74EC1279" w:rsidR="003B2BE0" w:rsidRPr="00AB75BA" w:rsidRDefault="003B2BE0" w:rsidP="0080060D">
            <w:pPr>
              <w:spacing w:after="0" w:line="240" w:lineRule="auto"/>
              <w:rPr>
                <w:rFonts w:ascii="Garamond" w:eastAsia="Times New Roman" w:hAnsi="Garamond" w:cs="Times New Roman"/>
                <w:sz w:val="20"/>
                <w:szCs w:val="20"/>
              </w:rPr>
            </w:pPr>
            <w:r w:rsidRPr="00CB20F9">
              <w:rPr>
                <w:rFonts w:ascii="Garamond" w:eastAsia="Times New Roman" w:hAnsi="Garamond" w:cs="Times New Roman"/>
                <w:bCs/>
                <w:color w:val="000000" w:themeColor="text1"/>
                <w:sz w:val="20"/>
                <w:szCs w:val="20"/>
              </w:rPr>
              <w:t>Regional benchmark</w:t>
            </w:r>
          </w:p>
        </w:tc>
        <w:tc>
          <w:tcPr>
            <w:tcW w:w="789" w:type="pct"/>
            <w:tcBorders>
              <w:top w:val="single" w:sz="4" w:space="0" w:color="auto"/>
              <w:left w:val="nil"/>
              <w:bottom w:val="single" w:sz="4" w:space="0" w:color="auto"/>
              <w:right w:val="single" w:sz="4" w:space="0" w:color="auto"/>
            </w:tcBorders>
            <w:shd w:val="clear" w:color="auto" w:fill="00B050"/>
          </w:tcPr>
          <w:p w14:paraId="2F09F8A1" w14:textId="77777777" w:rsidR="003B2BE0" w:rsidRPr="00AB75BA" w:rsidRDefault="003B2BE0" w:rsidP="0080060D">
            <w:pPr>
              <w:spacing w:after="0" w:line="240" w:lineRule="auto"/>
              <w:rPr>
                <w:rFonts w:ascii="Garamond" w:eastAsia="Times New Roman" w:hAnsi="Garamond" w:cs="Times New Roman"/>
                <w:sz w:val="20"/>
                <w:szCs w:val="20"/>
              </w:rPr>
            </w:pPr>
          </w:p>
        </w:tc>
      </w:tr>
    </w:tbl>
    <w:p w14:paraId="694B6B15" w14:textId="77777777" w:rsidR="005365A3" w:rsidRPr="00AB75BA" w:rsidRDefault="005365A3">
      <w:pPr>
        <w:rPr>
          <w:rFonts w:ascii="Garamond" w:hAnsi="Garamond"/>
          <w:sz w:val="20"/>
          <w:szCs w:val="20"/>
        </w:rPr>
      </w:pPr>
    </w:p>
    <w:p w14:paraId="02FAE55C" w14:textId="082DE553" w:rsidR="005365A3" w:rsidRPr="004129BF" w:rsidRDefault="003C27B9">
      <w:pPr>
        <w:rPr>
          <w:rFonts w:ascii="Calibri" w:hAnsi="Calibri"/>
          <w:b/>
          <w:sz w:val="24"/>
          <w:szCs w:val="24"/>
        </w:rPr>
      </w:pPr>
      <w:r w:rsidRPr="004129BF">
        <w:rPr>
          <w:rFonts w:ascii="Calibri" w:hAnsi="Calibri"/>
          <w:b/>
          <w:sz w:val="24"/>
          <w:szCs w:val="24"/>
        </w:rPr>
        <w:t xml:space="preserve">Tally of </w:t>
      </w:r>
      <w:r w:rsidR="005365A3" w:rsidRPr="004129BF">
        <w:rPr>
          <w:rFonts w:ascii="Calibri" w:hAnsi="Calibri"/>
          <w:b/>
          <w:sz w:val="24"/>
          <w:szCs w:val="24"/>
        </w:rPr>
        <w:t>Benchmark</w:t>
      </w:r>
      <w:r w:rsidRPr="004129BF">
        <w:rPr>
          <w:rFonts w:ascii="Calibri" w:hAnsi="Calibri"/>
          <w:b/>
          <w:sz w:val="24"/>
          <w:szCs w:val="24"/>
        </w:rPr>
        <w:t xml:space="preserve"> Indicator Types</w:t>
      </w:r>
    </w:p>
    <w:tbl>
      <w:tblPr>
        <w:tblStyle w:val="TableGrid"/>
        <w:tblW w:w="0" w:type="auto"/>
        <w:tblLook w:val="04A0" w:firstRow="1" w:lastRow="0" w:firstColumn="1" w:lastColumn="0" w:noHBand="0" w:noVBand="1"/>
      </w:tblPr>
      <w:tblGrid>
        <w:gridCol w:w="2923"/>
        <w:gridCol w:w="2765"/>
        <w:gridCol w:w="3081"/>
        <w:gridCol w:w="3129"/>
        <w:gridCol w:w="2718"/>
      </w:tblGrid>
      <w:tr w:rsidR="003C27B9" w:rsidRPr="00AB75BA" w14:paraId="4D97099B" w14:textId="77777777" w:rsidTr="003C27B9">
        <w:tc>
          <w:tcPr>
            <w:tcW w:w="2923" w:type="dxa"/>
          </w:tcPr>
          <w:p w14:paraId="671FEF3D" w14:textId="67DE2402" w:rsidR="00050504" w:rsidRPr="00287AA3" w:rsidRDefault="00050504" w:rsidP="00287AA3">
            <w:pPr>
              <w:rPr>
                <w:rFonts w:ascii="Calibri" w:eastAsia="Times New Roman" w:hAnsi="Calibri" w:cs="Times New Roman"/>
                <w:b/>
                <w:bCs/>
                <w:sz w:val="20"/>
                <w:szCs w:val="20"/>
              </w:rPr>
            </w:pPr>
            <w:r w:rsidRPr="00287AA3">
              <w:rPr>
                <w:rFonts w:ascii="Calibri" w:eastAsia="Times New Roman" w:hAnsi="Calibri" w:cs="Times New Roman"/>
                <w:b/>
                <w:bCs/>
                <w:sz w:val="20"/>
                <w:szCs w:val="20"/>
              </w:rPr>
              <w:t>Mission Aspects</w:t>
            </w:r>
          </w:p>
        </w:tc>
        <w:tc>
          <w:tcPr>
            <w:tcW w:w="2765" w:type="dxa"/>
          </w:tcPr>
          <w:p w14:paraId="4F29EE38" w14:textId="5E28C379" w:rsidR="00050504" w:rsidRPr="00287AA3" w:rsidRDefault="00050504" w:rsidP="00287AA3">
            <w:pPr>
              <w:jc w:val="center"/>
              <w:rPr>
                <w:rFonts w:ascii="Calibri" w:hAnsi="Calibri"/>
                <w:b/>
                <w:sz w:val="20"/>
                <w:szCs w:val="20"/>
              </w:rPr>
            </w:pPr>
            <w:r w:rsidRPr="00287AA3">
              <w:rPr>
                <w:rFonts w:ascii="Calibri" w:hAnsi="Calibri"/>
                <w:b/>
                <w:sz w:val="20"/>
                <w:szCs w:val="20"/>
              </w:rPr>
              <w:t>Local</w:t>
            </w:r>
            <w:r w:rsidR="003C27B9" w:rsidRPr="00287AA3">
              <w:rPr>
                <w:rFonts w:ascii="Calibri" w:hAnsi="Calibri"/>
                <w:b/>
                <w:sz w:val="20"/>
                <w:szCs w:val="20"/>
              </w:rPr>
              <w:t xml:space="preserve"> Benchmark Indicators</w:t>
            </w:r>
          </w:p>
        </w:tc>
        <w:tc>
          <w:tcPr>
            <w:tcW w:w="3081" w:type="dxa"/>
          </w:tcPr>
          <w:p w14:paraId="16A4CC3D" w14:textId="13B1D63F" w:rsidR="00050504" w:rsidRPr="00287AA3" w:rsidRDefault="00050504" w:rsidP="00287AA3">
            <w:pPr>
              <w:jc w:val="center"/>
              <w:rPr>
                <w:rFonts w:ascii="Calibri" w:hAnsi="Calibri"/>
                <w:b/>
                <w:sz w:val="20"/>
                <w:szCs w:val="20"/>
              </w:rPr>
            </w:pPr>
            <w:r w:rsidRPr="00287AA3">
              <w:rPr>
                <w:rFonts w:ascii="Calibri" w:hAnsi="Calibri"/>
                <w:b/>
                <w:sz w:val="20"/>
                <w:szCs w:val="20"/>
              </w:rPr>
              <w:t>Regional</w:t>
            </w:r>
            <w:r w:rsidR="003C27B9" w:rsidRPr="00287AA3">
              <w:rPr>
                <w:rFonts w:ascii="Calibri" w:hAnsi="Calibri"/>
                <w:b/>
                <w:sz w:val="20"/>
                <w:szCs w:val="20"/>
              </w:rPr>
              <w:t xml:space="preserve"> Benchmark Indicators</w:t>
            </w:r>
          </w:p>
        </w:tc>
        <w:tc>
          <w:tcPr>
            <w:tcW w:w="3129" w:type="dxa"/>
          </w:tcPr>
          <w:p w14:paraId="4B3BF73B" w14:textId="2874F326" w:rsidR="00050504" w:rsidRPr="00287AA3" w:rsidRDefault="00050504" w:rsidP="00287AA3">
            <w:pPr>
              <w:jc w:val="center"/>
              <w:rPr>
                <w:rFonts w:ascii="Calibri" w:hAnsi="Calibri"/>
                <w:b/>
                <w:sz w:val="20"/>
                <w:szCs w:val="20"/>
              </w:rPr>
            </w:pPr>
            <w:r w:rsidRPr="00287AA3">
              <w:rPr>
                <w:rFonts w:ascii="Calibri" w:hAnsi="Calibri"/>
                <w:b/>
                <w:sz w:val="20"/>
                <w:szCs w:val="20"/>
              </w:rPr>
              <w:t>National Benchmarks</w:t>
            </w:r>
            <w:r w:rsidR="003C27B9" w:rsidRPr="00287AA3">
              <w:rPr>
                <w:rFonts w:ascii="Calibri" w:hAnsi="Calibri"/>
                <w:b/>
                <w:sz w:val="20"/>
                <w:szCs w:val="20"/>
              </w:rPr>
              <w:t xml:space="preserve"> Indicators</w:t>
            </w:r>
          </w:p>
        </w:tc>
        <w:tc>
          <w:tcPr>
            <w:tcW w:w="2718" w:type="dxa"/>
          </w:tcPr>
          <w:p w14:paraId="56887FAE" w14:textId="3F59AC28" w:rsidR="00050504" w:rsidRPr="00287AA3" w:rsidRDefault="00050504" w:rsidP="00287AA3">
            <w:pPr>
              <w:jc w:val="center"/>
              <w:rPr>
                <w:rFonts w:ascii="Calibri" w:hAnsi="Calibri"/>
                <w:b/>
                <w:sz w:val="20"/>
                <w:szCs w:val="20"/>
              </w:rPr>
            </w:pPr>
            <w:r w:rsidRPr="00287AA3">
              <w:rPr>
                <w:rFonts w:ascii="Calibri" w:hAnsi="Calibri"/>
                <w:b/>
                <w:sz w:val="20"/>
                <w:szCs w:val="20"/>
              </w:rPr>
              <w:t>Total Indicators</w:t>
            </w:r>
          </w:p>
        </w:tc>
      </w:tr>
      <w:tr w:rsidR="003C27B9" w:rsidRPr="00AB75BA" w14:paraId="784856D2" w14:textId="77777777" w:rsidTr="003C27B9">
        <w:tc>
          <w:tcPr>
            <w:tcW w:w="2923" w:type="dxa"/>
          </w:tcPr>
          <w:p w14:paraId="71E77F69" w14:textId="540D68B4" w:rsidR="00050504" w:rsidRPr="00AB75BA" w:rsidRDefault="00050504" w:rsidP="00050504">
            <w:pPr>
              <w:rPr>
                <w:rFonts w:ascii="Garamond" w:hAnsi="Garamond"/>
                <w:sz w:val="20"/>
                <w:szCs w:val="20"/>
              </w:rPr>
            </w:pPr>
            <w:r w:rsidRPr="00AB75BA">
              <w:rPr>
                <w:rFonts w:ascii="Garamond" w:eastAsia="Times New Roman" w:hAnsi="Garamond" w:cs="Times New Roman"/>
                <w:bCs/>
                <w:sz w:val="20"/>
                <w:szCs w:val="20"/>
              </w:rPr>
              <w:t>The College of Micronesia-FSM is a learner-centered institution of higher education</w:t>
            </w:r>
          </w:p>
        </w:tc>
        <w:tc>
          <w:tcPr>
            <w:tcW w:w="2765" w:type="dxa"/>
          </w:tcPr>
          <w:p w14:paraId="590FE02B" w14:textId="4D5796B6" w:rsidR="00050504" w:rsidRPr="00E54BC3" w:rsidRDefault="009E6057" w:rsidP="003C27B9">
            <w:pPr>
              <w:jc w:val="center"/>
              <w:rPr>
                <w:rFonts w:ascii="Garamond" w:hAnsi="Garamond"/>
                <w:sz w:val="20"/>
                <w:szCs w:val="20"/>
              </w:rPr>
            </w:pPr>
            <w:r w:rsidRPr="00E54BC3">
              <w:rPr>
                <w:rFonts w:ascii="Garamond" w:hAnsi="Garamond"/>
                <w:color w:val="000000" w:themeColor="text1"/>
                <w:sz w:val="20"/>
                <w:szCs w:val="20"/>
              </w:rPr>
              <w:t>2</w:t>
            </w:r>
          </w:p>
        </w:tc>
        <w:tc>
          <w:tcPr>
            <w:tcW w:w="3081" w:type="dxa"/>
          </w:tcPr>
          <w:p w14:paraId="5117C9BB" w14:textId="3EB79F60" w:rsidR="00050504" w:rsidRPr="00AB75BA" w:rsidRDefault="003B2BE0" w:rsidP="003C27B9">
            <w:pPr>
              <w:jc w:val="center"/>
              <w:rPr>
                <w:rFonts w:ascii="Garamond" w:hAnsi="Garamond"/>
                <w:sz w:val="20"/>
                <w:szCs w:val="20"/>
              </w:rPr>
            </w:pPr>
            <w:r>
              <w:rPr>
                <w:rFonts w:ascii="Garamond" w:hAnsi="Garamond"/>
                <w:sz w:val="20"/>
                <w:szCs w:val="20"/>
              </w:rPr>
              <w:t>0</w:t>
            </w:r>
          </w:p>
        </w:tc>
        <w:tc>
          <w:tcPr>
            <w:tcW w:w="3129" w:type="dxa"/>
          </w:tcPr>
          <w:p w14:paraId="18A2EB4B" w14:textId="36BAE633" w:rsidR="00050504" w:rsidRPr="00AB75BA" w:rsidRDefault="00050504" w:rsidP="003C27B9">
            <w:pPr>
              <w:jc w:val="center"/>
              <w:rPr>
                <w:rFonts w:ascii="Garamond" w:hAnsi="Garamond"/>
                <w:sz w:val="20"/>
                <w:szCs w:val="20"/>
              </w:rPr>
            </w:pPr>
            <w:r w:rsidRPr="00AB75BA">
              <w:rPr>
                <w:rFonts w:ascii="Garamond" w:hAnsi="Garamond"/>
                <w:sz w:val="20"/>
                <w:szCs w:val="20"/>
              </w:rPr>
              <w:t>5</w:t>
            </w:r>
          </w:p>
        </w:tc>
        <w:tc>
          <w:tcPr>
            <w:tcW w:w="2718" w:type="dxa"/>
          </w:tcPr>
          <w:p w14:paraId="3D29665A" w14:textId="0DB7C0A6" w:rsidR="00050504" w:rsidRPr="009E6057" w:rsidRDefault="00E54BC3" w:rsidP="003C27B9">
            <w:pPr>
              <w:jc w:val="center"/>
              <w:rPr>
                <w:rFonts w:ascii="Garamond" w:hAnsi="Garamond"/>
                <w:b/>
                <w:sz w:val="20"/>
                <w:szCs w:val="20"/>
              </w:rPr>
            </w:pPr>
            <w:r>
              <w:rPr>
                <w:rFonts w:ascii="Garamond" w:hAnsi="Garamond"/>
                <w:b/>
                <w:color w:val="000000" w:themeColor="text1"/>
                <w:sz w:val="20"/>
                <w:szCs w:val="20"/>
              </w:rPr>
              <w:t>7</w:t>
            </w:r>
          </w:p>
        </w:tc>
      </w:tr>
      <w:tr w:rsidR="003C27B9" w:rsidRPr="00AB75BA" w14:paraId="2E8CA4BB" w14:textId="77777777" w:rsidTr="003C27B9">
        <w:tc>
          <w:tcPr>
            <w:tcW w:w="2923" w:type="dxa"/>
          </w:tcPr>
          <w:p w14:paraId="329EE84A" w14:textId="77777777" w:rsidR="00050504" w:rsidRPr="00AB75BA" w:rsidRDefault="00050504" w:rsidP="00050504">
            <w:pPr>
              <w:rPr>
                <w:rFonts w:ascii="Garamond" w:eastAsia="Times New Roman" w:hAnsi="Garamond" w:cs="Times New Roman"/>
                <w:bCs/>
                <w:sz w:val="20"/>
                <w:szCs w:val="20"/>
              </w:rPr>
            </w:pPr>
            <w:r w:rsidRPr="00AB75BA">
              <w:rPr>
                <w:rFonts w:ascii="Garamond" w:eastAsia="Times New Roman" w:hAnsi="Garamond" w:cs="Times New Roman"/>
                <w:bCs/>
                <w:sz w:val="20"/>
                <w:szCs w:val="20"/>
              </w:rPr>
              <w:t xml:space="preserve">that is committed to the success of the Federated States of Micronesia </w:t>
            </w:r>
          </w:p>
          <w:p w14:paraId="0A37A51D" w14:textId="77777777" w:rsidR="00050504" w:rsidRPr="00AB75BA" w:rsidRDefault="00050504" w:rsidP="00050504">
            <w:pPr>
              <w:rPr>
                <w:rFonts w:ascii="Garamond" w:hAnsi="Garamond"/>
                <w:sz w:val="20"/>
                <w:szCs w:val="20"/>
              </w:rPr>
            </w:pPr>
          </w:p>
        </w:tc>
        <w:tc>
          <w:tcPr>
            <w:tcW w:w="2765" w:type="dxa"/>
          </w:tcPr>
          <w:p w14:paraId="13C5EF87" w14:textId="493793D2" w:rsidR="00050504" w:rsidRPr="00AB75BA" w:rsidRDefault="00050504" w:rsidP="003C27B9">
            <w:pPr>
              <w:jc w:val="center"/>
              <w:rPr>
                <w:rFonts w:ascii="Garamond" w:hAnsi="Garamond"/>
                <w:sz w:val="20"/>
                <w:szCs w:val="20"/>
              </w:rPr>
            </w:pPr>
            <w:r w:rsidRPr="00AB75BA">
              <w:rPr>
                <w:rFonts w:ascii="Garamond" w:hAnsi="Garamond"/>
                <w:sz w:val="20"/>
                <w:szCs w:val="20"/>
              </w:rPr>
              <w:t>4</w:t>
            </w:r>
          </w:p>
        </w:tc>
        <w:tc>
          <w:tcPr>
            <w:tcW w:w="3081" w:type="dxa"/>
          </w:tcPr>
          <w:p w14:paraId="2B82C50B" w14:textId="742EC0D8" w:rsidR="00050504" w:rsidRPr="00AB75BA" w:rsidRDefault="00050504" w:rsidP="003C27B9">
            <w:pPr>
              <w:jc w:val="center"/>
              <w:rPr>
                <w:rFonts w:ascii="Garamond" w:hAnsi="Garamond"/>
                <w:sz w:val="20"/>
                <w:szCs w:val="20"/>
              </w:rPr>
            </w:pPr>
            <w:r w:rsidRPr="00AB75BA">
              <w:rPr>
                <w:rFonts w:ascii="Garamond" w:hAnsi="Garamond"/>
                <w:sz w:val="20"/>
                <w:szCs w:val="20"/>
              </w:rPr>
              <w:t>0</w:t>
            </w:r>
          </w:p>
        </w:tc>
        <w:tc>
          <w:tcPr>
            <w:tcW w:w="3129" w:type="dxa"/>
          </w:tcPr>
          <w:p w14:paraId="52CDF6E9" w14:textId="40A90B57" w:rsidR="00050504" w:rsidRPr="00AB75BA" w:rsidRDefault="00050504" w:rsidP="003C27B9">
            <w:pPr>
              <w:jc w:val="center"/>
              <w:rPr>
                <w:rFonts w:ascii="Garamond" w:hAnsi="Garamond"/>
                <w:sz w:val="20"/>
                <w:szCs w:val="20"/>
              </w:rPr>
            </w:pPr>
            <w:r w:rsidRPr="00AB75BA">
              <w:rPr>
                <w:rFonts w:ascii="Garamond" w:hAnsi="Garamond"/>
                <w:sz w:val="20"/>
                <w:szCs w:val="20"/>
              </w:rPr>
              <w:t>0</w:t>
            </w:r>
          </w:p>
        </w:tc>
        <w:tc>
          <w:tcPr>
            <w:tcW w:w="2718" w:type="dxa"/>
          </w:tcPr>
          <w:p w14:paraId="42862029" w14:textId="3024DF99" w:rsidR="00050504" w:rsidRPr="00E54BC3" w:rsidRDefault="00050504" w:rsidP="003C27B9">
            <w:pPr>
              <w:jc w:val="center"/>
              <w:rPr>
                <w:rFonts w:ascii="Garamond" w:hAnsi="Garamond"/>
                <w:b/>
                <w:sz w:val="20"/>
                <w:szCs w:val="20"/>
              </w:rPr>
            </w:pPr>
            <w:r w:rsidRPr="00E54BC3">
              <w:rPr>
                <w:rFonts w:ascii="Garamond" w:hAnsi="Garamond"/>
                <w:b/>
                <w:sz w:val="20"/>
                <w:szCs w:val="20"/>
              </w:rPr>
              <w:t>4</w:t>
            </w:r>
          </w:p>
        </w:tc>
      </w:tr>
      <w:tr w:rsidR="003C27B9" w:rsidRPr="00AB75BA" w14:paraId="36AF54F6" w14:textId="77777777" w:rsidTr="003C27B9">
        <w:tc>
          <w:tcPr>
            <w:tcW w:w="2923" w:type="dxa"/>
          </w:tcPr>
          <w:p w14:paraId="6498599F" w14:textId="24C9ADF2" w:rsidR="00050504" w:rsidRPr="00AB75BA" w:rsidRDefault="00050504" w:rsidP="00050504">
            <w:pPr>
              <w:rPr>
                <w:rFonts w:ascii="Garamond" w:hAnsi="Garamond"/>
                <w:sz w:val="20"/>
                <w:szCs w:val="20"/>
              </w:rPr>
            </w:pPr>
            <w:r w:rsidRPr="00AB75BA">
              <w:rPr>
                <w:rFonts w:ascii="Garamond" w:eastAsia="Times New Roman" w:hAnsi="Garamond" w:cs="Times New Roman"/>
                <w:bCs/>
                <w:sz w:val="20"/>
                <w:szCs w:val="20"/>
              </w:rPr>
              <w:t>by providing academic, career and technical educational programs characterized by continuous improvement and best practices.</w:t>
            </w:r>
          </w:p>
        </w:tc>
        <w:tc>
          <w:tcPr>
            <w:tcW w:w="2765" w:type="dxa"/>
          </w:tcPr>
          <w:p w14:paraId="43B311BD" w14:textId="7D851D90" w:rsidR="00050504" w:rsidRPr="00AB75BA" w:rsidRDefault="00050504" w:rsidP="003C27B9">
            <w:pPr>
              <w:jc w:val="center"/>
              <w:rPr>
                <w:rFonts w:ascii="Garamond" w:hAnsi="Garamond"/>
                <w:sz w:val="20"/>
                <w:szCs w:val="20"/>
              </w:rPr>
            </w:pPr>
            <w:r w:rsidRPr="00AB75BA">
              <w:rPr>
                <w:rFonts w:ascii="Garamond" w:hAnsi="Garamond"/>
                <w:sz w:val="20"/>
                <w:szCs w:val="20"/>
              </w:rPr>
              <w:t>5</w:t>
            </w:r>
          </w:p>
        </w:tc>
        <w:tc>
          <w:tcPr>
            <w:tcW w:w="3081" w:type="dxa"/>
          </w:tcPr>
          <w:p w14:paraId="47BC457E" w14:textId="6C701913" w:rsidR="00050504" w:rsidRPr="00AB75BA" w:rsidRDefault="003B2BE0" w:rsidP="003C27B9">
            <w:pPr>
              <w:jc w:val="center"/>
              <w:rPr>
                <w:rFonts w:ascii="Garamond" w:hAnsi="Garamond"/>
                <w:sz w:val="20"/>
                <w:szCs w:val="20"/>
              </w:rPr>
            </w:pPr>
            <w:r>
              <w:rPr>
                <w:rFonts w:ascii="Garamond" w:hAnsi="Garamond"/>
                <w:sz w:val="20"/>
                <w:szCs w:val="20"/>
              </w:rPr>
              <w:t>3</w:t>
            </w:r>
          </w:p>
        </w:tc>
        <w:tc>
          <w:tcPr>
            <w:tcW w:w="3129" w:type="dxa"/>
          </w:tcPr>
          <w:p w14:paraId="1CC2D7B4" w14:textId="0F2AC790" w:rsidR="00050504" w:rsidRPr="00AB75BA" w:rsidRDefault="00050504" w:rsidP="003C27B9">
            <w:pPr>
              <w:jc w:val="center"/>
              <w:rPr>
                <w:rFonts w:ascii="Garamond" w:hAnsi="Garamond"/>
                <w:sz w:val="20"/>
                <w:szCs w:val="20"/>
              </w:rPr>
            </w:pPr>
            <w:r w:rsidRPr="00AB75BA">
              <w:rPr>
                <w:rFonts w:ascii="Garamond" w:hAnsi="Garamond"/>
                <w:sz w:val="20"/>
                <w:szCs w:val="20"/>
              </w:rPr>
              <w:t>1</w:t>
            </w:r>
          </w:p>
        </w:tc>
        <w:tc>
          <w:tcPr>
            <w:tcW w:w="2718" w:type="dxa"/>
          </w:tcPr>
          <w:p w14:paraId="79D9E190" w14:textId="3C6C1184" w:rsidR="00050504" w:rsidRPr="00E54BC3" w:rsidRDefault="00E54BC3" w:rsidP="003C27B9">
            <w:pPr>
              <w:jc w:val="center"/>
              <w:rPr>
                <w:rFonts w:ascii="Garamond" w:hAnsi="Garamond"/>
                <w:b/>
                <w:sz w:val="20"/>
                <w:szCs w:val="20"/>
              </w:rPr>
            </w:pPr>
            <w:r>
              <w:rPr>
                <w:rFonts w:ascii="Garamond" w:hAnsi="Garamond"/>
                <w:b/>
                <w:sz w:val="20"/>
                <w:szCs w:val="20"/>
              </w:rPr>
              <w:t>9</w:t>
            </w:r>
          </w:p>
        </w:tc>
      </w:tr>
      <w:tr w:rsidR="003C27B9" w:rsidRPr="00AB75BA" w14:paraId="5328720A" w14:textId="77777777" w:rsidTr="003C27B9">
        <w:tc>
          <w:tcPr>
            <w:tcW w:w="2923" w:type="dxa"/>
          </w:tcPr>
          <w:p w14:paraId="7F5B40BF" w14:textId="29A0BE7D" w:rsidR="00050504" w:rsidRPr="00332B95" w:rsidRDefault="00050504" w:rsidP="003C27B9">
            <w:pPr>
              <w:jc w:val="center"/>
              <w:rPr>
                <w:b/>
                <w:sz w:val="20"/>
                <w:szCs w:val="20"/>
              </w:rPr>
            </w:pPr>
            <w:r w:rsidRPr="00332B95">
              <w:rPr>
                <w:b/>
                <w:sz w:val="20"/>
                <w:szCs w:val="20"/>
              </w:rPr>
              <w:t>Total</w:t>
            </w:r>
            <w:r w:rsidR="003C27B9" w:rsidRPr="00332B95">
              <w:rPr>
                <w:b/>
                <w:sz w:val="20"/>
                <w:szCs w:val="20"/>
              </w:rPr>
              <w:t xml:space="preserve"> Indicators</w:t>
            </w:r>
          </w:p>
        </w:tc>
        <w:tc>
          <w:tcPr>
            <w:tcW w:w="2765" w:type="dxa"/>
          </w:tcPr>
          <w:p w14:paraId="6ACFE85A" w14:textId="397BE95B" w:rsidR="00050504" w:rsidRPr="00042298" w:rsidRDefault="009E6057" w:rsidP="003C27B9">
            <w:pPr>
              <w:jc w:val="center"/>
              <w:rPr>
                <w:rFonts w:ascii="Garamond" w:hAnsi="Garamond"/>
                <w:b/>
                <w:color w:val="000000" w:themeColor="text1"/>
                <w:sz w:val="20"/>
                <w:szCs w:val="20"/>
              </w:rPr>
            </w:pPr>
            <w:r w:rsidRPr="00042298">
              <w:rPr>
                <w:rFonts w:ascii="Garamond" w:hAnsi="Garamond"/>
                <w:b/>
                <w:color w:val="000000" w:themeColor="text1"/>
                <w:sz w:val="20"/>
                <w:szCs w:val="20"/>
              </w:rPr>
              <w:t>11</w:t>
            </w:r>
          </w:p>
        </w:tc>
        <w:tc>
          <w:tcPr>
            <w:tcW w:w="3081" w:type="dxa"/>
          </w:tcPr>
          <w:p w14:paraId="4511C665" w14:textId="69A5B2A8" w:rsidR="00050504" w:rsidRPr="00042298" w:rsidRDefault="002648A6" w:rsidP="003C27B9">
            <w:pPr>
              <w:jc w:val="center"/>
              <w:rPr>
                <w:rFonts w:ascii="Garamond" w:hAnsi="Garamond"/>
                <w:b/>
                <w:color w:val="000000" w:themeColor="text1"/>
                <w:sz w:val="20"/>
                <w:szCs w:val="20"/>
              </w:rPr>
            </w:pPr>
            <w:r>
              <w:rPr>
                <w:rFonts w:ascii="Garamond" w:hAnsi="Garamond"/>
                <w:b/>
                <w:color w:val="000000" w:themeColor="text1"/>
                <w:sz w:val="20"/>
                <w:szCs w:val="20"/>
              </w:rPr>
              <w:t>3</w:t>
            </w:r>
          </w:p>
        </w:tc>
        <w:tc>
          <w:tcPr>
            <w:tcW w:w="3129" w:type="dxa"/>
          </w:tcPr>
          <w:p w14:paraId="55F4FAB7" w14:textId="6B844B59" w:rsidR="00050504" w:rsidRPr="00042298" w:rsidRDefault="00050504" w:rsidP="003C27B9">
            <w:pPr>
              <w:jc w:val="center"/>
              <w:rPr>
                <w:rFonts w:ascii="Garamond" w:hAnsi="Garamond"/>
                <w:b/>
                <w:color w:val="000000" w:themeColor="text1"/>
                <w:sz w:val="20"/>
                <w:szCs w:val="20"/>
              </w:rPr>
            </w:pPr>
            <w:r w:rsidRPr="00042298">
              <w:rPr>
                <w:rFonts w:ascii="Garamond" w:hAnsi="Garamond"/>
                <w:b/>
                <w:color w:val="000000" w:themeColor="text1"/>
                <w:sz w:val="20"/>
                <w:szCs w:val="20"/>
              </w:rPr>
              <w:t>6</w:t>
            </w:r>
          </w:p>
        </w:tc>
        <w:tc>
          <w:tcPr>
            <w:tcW w:w="2718" w:type="dxa"/>
          </w:tcPr>
          <w:p w14:paraId="32431925" w14:textId="14C3D9B6" w:rsidR="00050504" w:rsidRPr="00042298" w:rsidRDefault="002648A6" w:rsidP="003C27B9">
            <w:pPr>
              <w:jc w:val="center"/>
              <w:rPr>
                <w:rFonts w:ascii="Garamond" w:hAnsi="Garamond"/>
                <w:b/>
                <w:color w:val="000000" w:themeColor="text1"/>
                <w:sz w:val="20"/>
                <w:szCs w:val="20"/>
              </w:rPr>
            </w:pPr>
            <w:r>
              <w:rPr>
                <w:rFonts w:ascii="Garamond" w:hAnsi="Garamond"/>
                <w:b/>
                <w:color w:val="000000" w:themeColor="text1"/>
                <w:sz w:val="20"/>
                <w:szCs w:val="20"/>
              </w:rPr>
              <w:t>20</w:t>
            </w:r>
          </w:p>
        </w:tc>
      </w:tr>
    </w:tbl>
    <w:p w14:paraId="5819C1EC" w14:textId="77777777" w:rsidR="00791303" w:rsidRDefault="00791303" w:rsidP="00772F46">
      <w:pPr>
        <w:spacing w:before="100" w:beforeAutospacing="1" w:after="100" w:afterAutospacing="1" w:line="240" w:lineRule="auto"/>
        <w:outlineLvl w:val="0"/>
        <w:rPr>
          <w:rFonts w:ascii="Calibri" w:eastAsia="Times New Roman" w:hAnsi="Calibri" w:cs="Times New Roman"/>
          <w:b/>
          <w:sz w:val="24"/>
          <w:szCs w:val="24"/>
        </w:rPr>
      </w:pPr>
    </w:p>
    <w:p w14:paraId="6F316EB9" w14:textId="77777777" w:rsidR="00791303" w:rsidRDefault="00791303" w:rsidP="00772F46">
      <w:pPr>
        <w:spacing w:before="100" w:beforeAutospacing="1" w:after="100" w:afterAutospacing="1" w:line="240" w:lineRule="auto"/>
        <w:outlineLvl w:val="0"/>
        <w:rPr>
          <w:rFonts w:ascii="Calibri" w:eastAsia="Times New Roman" w:hAnsi="Calibri" w:cs="Times New Roman"/>
          <w:b/>
          <w:sz w:val="24"/>
          <w:szCs w:val="24"/>
        </w:rPr>
      </w:pPr>
    </w:p>
    <w:p w14:paraId="6E85792F" w14:textId="5E351D69" w:rsidR="00772F46" w:rsidRPr="004129BF" w:rsidRDefault="004129BF" w:rsidP="00772F46">
      <w:pPr>
        <w:spacing w:before="100" w:beforeAutospacing="1" w:after="100" w:afterAutospacing="1" w:line="240" w:lineRule="auto"/>
        <w:outlineLvl w:val="0"/>
        <w:rPr>
          <w:rFonts w:ascii="Calibri" w:eastAsia="Times New Roman" w:hAnsi="Calibri" w:cs="Times New Roman"/>
          <w:b/>
          <w:sz w:val="24"/>
          <w:szCs w:val="24"/>
        </w:rPr>
      </w:pPr>
      <w:r w:rsidRPr="004129BF">
        <w:rPr>
          <w:rFonts w:ascii="Calibri" w:eastAsia="Times New Roman" w:hAnsi="Calibri" w:cs="Times New Roman"/>
          <w:b/>
          <w:sz w:val="24"/>
          <w:szCs w:val="24"/>
        </w:rPr>
        <w:lastRenderedPageBreak/>
        <w:t>Mission Achievement</w:t>
      </w:r>
      <w:r w:rsidR="00332B95">
        <w:rPr>
          <w:rFonts w:ascii="Calibri" w:eastAsia="Times New Roman" w:hAnsi="Calibri" w:cs="Times New Roman"/>
          <w:b/>
          <w:sz w:val="24"/>
          <w:szCs w:val="24"/>
        </w:rPr>
        <w:t xml:space="preserve"> December 2015</w:t>
      </w:r>
    </w:p>
    <w:tbl>
      <w:tblPr>
        <w:tblStyle w:val="TableGrid"/>
        <w:tblW w:w="0" w:type="auto"/>
        <w:tblLook w:val="04A0" w:firstRow="1" w:lastRow="0" w:firstColumn="1" w:lastColumn="0" w:noHBand="0" w:noVBand="1"/>
      </w:tblPr>
      <w:tblGrid>
        <w:gridCol w:w="2590"/>
        <w:gridCol w:w="1301"/>
        <w:gridCol w:w="1234"/>
        <w:gridCol w:w="1428"/>
        <w:gridCol w:w="1360"/>
        <w:gridCol w:w="1446"/>
        <w:gridCol w:w="1664"/>
        <w:gridCol w:w="1064"/>
        <w:gridCol w:w="1215"/>
        <w:gridCol w:w="1314"/>
      </w:tblGrid>
      <w:tr w:rsidR="00332B95" w:rsidRPr="00AB75BA" w14:paraId="5C322B7C" w14:textId="34BE47BB" w:rsidTr="00332B95">
        <w:tc>
          <w:tcPr>
            <w:tcW w:w="2590" w:type="dxa"/>
          </w:tcPr>
          <w:p w14:paraId="06EB12E8" w14:textId="77777777" w:rsidR="00332B95" w:rsidRPr="00287AA3" w:rsidRDefault="00332B95" w:rsidP="00287AA3">
            <w:pPr>
              <w:rPr>
                <w:rFonts w:eastAsia="Times New Roman" w:cs="Times New Roman"/>
                <w:b/>
                <w:bCs/>
                <w:sz w:val="20"/>
                <w:szCs w:val="20"/>
              </w:rPr>
            </w:pPr>
            <w:r w:rsidRPr="00287AA3">
              <w:rPr>
                <w:rFonts w:eastAsia="Times New Roman" w:cs="Times New Roman"/>
                <w:b/>
                <w:bCs/>
                <w:sz w:val="20"/>
                <w:szCs w:val="20"/>
              </w:rPr>
              <w:t>Mission Aspects</w:t>
            </w:r>
          </w:p>
        </w:tc>
        <w:tc>
          <w:tcPr>
            <w:tcW w:w="2535" w:type="dxa"/>
            <w:gridSpan w:val="2"/>
          </w:tcPr>
          <w:p w14:paraId="0340F0C1" w14:textId="77777777" w:rsidR="00332B95" w:rsidRPr="00287AA3" w:rsidRDefault="00332B95" w:rsidP="00287AA3">
            <w:pPr>
              <w:jc w:val="center"/>
              <w:rPr>
                <w:b/>
                <w:sz w:val="20"/>
                <w:szCs w:val="20"/>
              </w:rPr>
            </w:pPr>
            <w:r w:rsidRPr="00287AA3">
              <w:rPr>
                <w:b/>
                <w:sz w:val="20"/>
                <w:szCs w:val="20"/>
              </w:rPr>
              <w:t>Local Benchmark Indicators</w:t>
            </w:r>
          </w:p>
        </w:tc>
        <w:tc>
          <w:tcPr>
            <w:tcW w:w="2788" w:type="dxa"/>
            <w:gridSpan w:val="2"/>
          </w:tcPr>
          <w:p w14:paraId="6D60BE81" w14:textId="77777777" w:rsidR="00332B95" w:rsidRPr="00287AA3" w:rsidRDefault="00332B95" w:rsidP="00287AA3">
            <w:pPr>
              <w:jc w:val="center"/>
              <w:rPr>
                <w:b/>
                <w:sz w:val="20"/>
                <w:szCs w:val="20"/>
              </w:rPr>
            </w:pPr>
            <w:r w:rsidRPr="00287AA3">
              <w:rPr>
                <w:b/>
                <w:sz w:val="20"/>
                <w:szCs w:val="20"/>
              </w:rPr>
              <w:t>Regional Benchmark Indicators</w:t>
            </w:r>
          </w:p>
        </w:tc>
        <w:tc>
          <w:tcPr>
            <w:tcW w:w="3110" w:type="dxa"/>
            <w:gridSpan w:val="2"/>
          </w:tcPr>
          <w:p w14:paraId="33794304" w14:textId="77777777" w:rsidR="00332B95" w:rsidRPr="00287AA3" w:rsidRDefault="00332B95" w:rsidP="00287AA3">
            <w:pPr>
              <w:jc w:val="center"/>
              <w:rPr>
                <w:b/>
                <w:sz w:val="20"/>
                <w:szCs w:val="20"/>
              </w:rPr>
            </w:pPr>
            <w:r w:rsidRPr="00287AA3">
              <w:rPr>
                <w:b/>
                <w:sz w:val="20"/>
                <w:szCs w:val="20"/>
              </w:rPr>
              <w:t>National Benchmarks Indicators</w:t>
            </w:r>
          </w:p>
        </w:tc>
        <w:tc>
          <w:tcPr>
            <w:tcW w:w="3593" w:type="dxa"/>
            <w:gridSpan w:val="3"/>
          </w:tcPr>
          <w:p w14:paraId="02D2ACE0" w14:textId="2C4612A6" w:rsidR="00332B95" w:rsidRPr="00287AA3" w:rsidRDefault="00332B95" w:rsidP="00287AA3">
            <w:pPr>
              <w:jc w:val="center"/>
              <w:rPr>
                <w:b/>
                <w:sz w:val="20"/>
                <w:szCs w:val="20"/>
              </w:rPr>
            </w:pPr>
            <w:r w:rsidRPr="00287AA3">
              <w:rPr>
                <w:b/>
                <w:sz w:val="20"/>
                <w:szCs w:val="20"/>
              </w:rPr>
              <w:t>Total Indicators</w:t>
            </w:r>
          </w:p>
        </w:tc>
      </w:tr>
      <w:tr w:rsidR="00332B95" w:rsidRPr="00AB75BA" w14:paraId="383DE8EC" w14:textId="673EBBFA" w:rsidTr="00332B95">
        <w:tc>
          <w:tcPr>
            <w:tcW w:w="2590" w:type="dxa"/>
          </w:tcPr>
          <w:p w14:paraId="6F3EDCBD" w14:textId="77777777" w:rsidR="00332B95" w:rsidRPr="00AB75BA" w:rsidRDefault="00332B95" w:rsidP="00E41700">
            <w:pPr>
              <w:jc w:val="center"/>
              <w:rPr>
                <w:rFonts w:ascii="Garamond" w:eastAsia="Times New Roman" w:hAnsi="Garamond" w:cs="Times New Roman"/>
                <w:b/>
                <w:bCs/>
                <w:sz w:val="20"/>
                <w:szCs w:val="20"/>
              </w:rPr>
            </w:pPr>
          </w:p>
        </w:tc>
        <w:tc>
          <w:tcPr>
            <w:tcW w:w="1301" w:type="dxa"/>
          </w:tcPr>
          <w:p w14:paraId="0F7DC194" w14:textId="725D95A8" w:rsidR="00332B95" w:rsidRPr="00287AA3" w:rsidRDefault="00332B95" w:rsidP="00287AA3">
            <w:pPr>
              <w:jc w:val="center"/>
              <w:rPr>
                <w:b/>
                <w:sz w:val="20"/>
                <w:szCs w:val="20"/>
              </w:rPr>
            </w:pPr>
            <w:r w:rsidRPr="00287AA3">
              <w:rPr>
                <w:b/>
                <w:sz w:val="20"/>
                <w:szCs w:val="20"/>
              </w:rPr>
              <w:t>Achieved</w:t>
            </w:r>
          </w:p>
          <w:p w14:paraId="0FEAB051" w14:textId="571BCAB0" w:rsidR="00332B95" w:rsidRPr="00287AA3" w:rsidRDefault="00332B95" w:rsidP="00287AA3">
            <w:pPr>
              <w:jc w:val="center"/>
              <w:rPr>
                <w:b/>
                <w:sz w:val="20"/>
                <w:szCs w:val="20"/>
              </w:rPr>
            </w:pPr>
          </w:p>
        </w:tc>
        <w:tc>
          <w:tcPr>
            <w:tcW w:w="1234" w:type="dxa"/>
          </w:tcPr>
          <w:p w14:paraId="23B4E9F5" w14:textId="0B4347DE" w:rsidR="00332B95" w:rsidRPr="00287AA3" w:rsidRDefault="00332B95" w:rsidP="00287AA3">
            <w:pPr>
              <w:jc w:val="center"/>
              <w:rPr>
                <w:b/>
                <w:sz w:val="20"/>
                <w:szCs w:val="20"/>
              </w:rPr>
            </w:pPr>
            <w:r w:rsidRPr="00287AA3">
              <w:rPr>
                <w:b/>
                <w:sz w:val="20"/>
                <w:szCs w:val="20"/>
              </w:rPr>
              <w:t>Total</w:t>
            </w:r>
          </w:p>
          <w:p w14:paraId="59A723AA" w14:textId="69021C67" w:rsidR="00332B95" w:rsidRPr="00287AA3" w:rsidRDefault="00332B95" w:rsidP="00287AA3">
            <w:pPr>
              <w:jc w:val="center"/>
              <w:rPr>
                <w:b/>
                <w:sz w:val="20"/>
                <w:szCs w:val="20"/>
              </w:rPr>
            </w:pPr>
          </w:p>
        </w:tc>
        <w:tc>
          <w:tcPr>
            <w:tcW w:w="1428" w:type="dxa"/>
          </w:tcPr>
          <w:p w14:paraId="30AD4811" w14:textId="77777777" w:rsidR="00332B95" w:rsidRPr="00287AA3" w:rsidRDefault="00332B95" w:rsidP="00E41700">
            <w:pPr>
              <w:jc w:val="center"/>
              <w:rPr>
                <w:b/>
                <w:sz w:val="20"/>
                <w:szCs w:val="20"/>
              </w:rPr>
            </w:pPr>
            <w:r w:rsidRPr="00287AA3">
              <w:rPr>
                <w:b/>
                <w:sz w:val="20"/>
                <w:szCs w:val="20"/>
              </w:rPr>
              <w:t>Achieved</w:t>
            </w:r>
          </w:p>
          <w:p w14:paraId="72268BF4" w14:textId="7EEE0E57" w:rsidR="00332B95" w:rsidRPr="00AB75BA" w:rsidRDefault="00332B95" w:rsidP="00287AA3">
            <w:pPr>
              <w:jc w:val="center"/>
              <w:rPr>
                <w:rFonts w:ascii="Garamond" w:hAnsi="Garamond"/>
                <w:sz w:val="20"/>
                <w:szCs w:val="20"/>
              </w:rPr>
            </w:pPr>
          </w:p>
        </w:tc>
        <w:tc>
          <w:tcPr>
            <w:tcW w:w="1360" w:type="dxa"/>
          </w:tcPr>
          <w:p w14:paraId="02B2942A" w14:textId="77777777" w:rsidR="00332B95" w:rsidRPr="00287AA3" w:rsidRDefault="00332B95" w:rsidP="00E41700">
            <w:pPr>
              <w:jc w:val="center"/>
              <w:rPr>
                <w:b/>
                <w:sz w:val="20"/>
                <w:szCs w:val="20"/>
              </w:rPr>
            </w:pPr>
            <w:r w:rsidRPr="00287AA3">
              <w:rPr>
                <w:b/>
                <w:sz w:val="20"/>
                <w:szCs w:val="20"/>
              </w:rPr>
              <w:t>Total</w:t>
            </w:r>
          </w:p>
          <w:p w14:paraId="7C1004E6" w14:textId="7B7D72BF" w:rsidR="00332B95" w:rsidRPr="00287AA3" w:rsidRDefault="00332B95" w:rsidP="00287AA3">
            <w:pPr>
              <w:jc w:val="center"/>
              <w:rPr>
                <w:rFonts w:ascii="Garamond" w:hAnsi="Garamond"/>
                <w:sz w:val="20"/>
                <w:szCs w:val="20"/>
              </w:rPr>
            </w:pPr>
          </w:p>
        </w:tc>
        <w:tc>
          <w:tcPr>
            <w:tcW w:w="1446" w:type="dxa"/>
          </w:tcPr>
          <w:p w14:paraId="76DEC977" w14:textId="77777777" w:rsidR="00332B95" w:rsidRPr="00287AA3" w:rsidRDefault="00332B95" w:rsidP="00E41700">
            <w:pPr>
              <w:jc w:val="center"/>
              <w:rPr>
                <w:b/>
                <w:sz w:val="20"/>
                <w:szCs w:val="20"/>
              </w:rPr>
            </w:pPr>
            <w:r w:rsidRPr="00287AA3">
              <w:rPr>
                <w:b/>
                <w:sz w:val="20"/>
                <w:szCs w:val="20"/>
              </w:rPr>
              <w:t>Achieved</w:t>
            </w:r>
          </w:p>
          <w:p w14:paraId="35D3F107" w14:textId="1C125A57" w:rsidR="00332B95" w:rsidRPr="00AB75BA" w:rsidRDefault="00332B95" w:rsidP="00287AA3">
            <w:pPr>
              <w:jc w:val="center"/>
              <w:rPr>
                <w:rFonts w:ascii="Garamond" w:hAnsi="Garamond"/>
                <w:sz w:val="20"/>
                <w:szCs w:val="20"/>
              </w:rPr>
            </w:pPr>
          </w:p>
        </w:tc>
        <w:tc>
          <w:tcPr>
            <w:tcW w:w="1664" w:type="dxa"/>
          </w:tcPr>
          <w:p w14:paraId="5BE3E1A0" w14:textId="77777777" w:rsidR="00332B95" w:rsidRPr="00287AA3" w:rsidRDefault="00332B95" w:rsidP="00E41700">
            <w:pPr>
              <w:jc w:val="center"/>
              <w:rPr>
                <w:b/>
                <w:sz w:val="20"/>
                <w:szCs w:val="20"/>
              </w:rPr>
            </w:pPr>
            <w:r w:rsidRPr="00287AA3">
              <w:rPr>
                <w:b/>
                <w:sz w:val="20"/>
                <w:szCs w:val="20"/>
              </w:rPr>
              <w:t>Total</w:t>
            </w:r>
          </w:p>
          <w:p w14:paraId="0D98EB16" w14:textId="50FBFF7E" w:rsidR="00332B95" w:rsidRPr="00287AA3" w:rsidRDefault="00332B95" w:rsidP="00287AA3">
            <w:pPr>
              <w:jc w:val="center"/>
              <w:rPr>
                <w:rFonts w:ascii="Garamond" w:hAnsi="Garamond"/>
                <w:sz w:val="20"/>
                <w:szCs w:val="20"/>
              </w:rPr>
            </w:pPr>
          </w:p>
        </w:tc>
        <w:tc>
          <w:tcPr>
            <w:tcW w:w="1064" w:type="dxa"/>
          </w:tcPr>
          <w:p w14:paraId="1722A028" w14:textId="77777777" w:rsidR="00332B95" w:rsidRPr="00287AA3" w:rsidRDefault="00332B95" w:rsidP="00332B95">
            <w:pPr>
              <w:jc w:val="center"/>
              <w:rPr>
                <w:b/>
                <w:sz w:val="20"/>
                <w:szCs w:val="20"/>
              </w:rPr>
            </w:pPr>
            <w:r w:rsidRPr="00287AA3">
              <w:rPr>
                <w:b/>
                <w:sz w:val="20"/>
                <w:szCs w:val="20"/>
              </w:rPr>
              <w:t>Achieved</w:t>
            </w:r>
          </w:p>
          <w:p w14:paraId="1AC0A4DC" w14:textId="2D207CD0" w:rsidR="00332B95" w:rsidRPr="00E54BC3" w:rsidRDefault="00332B95" w:rsidP="00332B95">
            <w:pPr>
              <w:jc w:val="center"/>
              <w:rPr>
                <w:rFonts w:ascii="Garamond" w:hAnsi="Garamond"/>
                <w:b/>
                <w:sz w:val="20"/>
                <w:szCs w:val="20"/>
              </w:rPr>
            </w:pPr>
          </w:p>
        </w:tc>
        <w:tc>
          <w:tcPr>
            <w:tcW w:w="1215" w:type="dxa"/>
          </w:tcPr>
          <w:p w14:paraId="2666DED2" w14:textId="77777777" w:rsidR="00332B95" w:rsidRPr="00287AA3" w:rsidRDefault="00332B95" w:rsidP="00332B95">
            <w:pPr>
              <w:jc w:val="center"/>
              <w:rPr>
                <w:b/>
                <w:sz w:val="20"/>
                <w:szCs w:val="20"/>
              </w:rPr>
            </w:pPr>
            <w:r w:rsidRPr="00287AA3">
              <w:rPr>
                <w:b/>
                <w:sz w:val="20"/>
                <w:szCs w:val="20"/>
              </w:rPr>
              <w:t>Total</w:t>
            </w:r>
          </w:p>
          <w:p w14:paraId="3E7F6476" w14:textId="37E8A062" w:rsidR="00332B95" w:rsidRPr="00AB75BA" w:rsidRDefault="00332B95" w:rsidP="00332B95">
            <w:pPr>
              <w:jc w:val="center"/>
              <w:rPr>
                <w:rFonts w:ascii="Garamond" w:hAnsi="Garamond"/>
                <w:b/>
                <w:sz w:val="20"/>
                <w:szCs w:val="20"/>
              </w:rPr>
            </w:pPr>
          </w:p>
        </w:tc>
        <w:tc>
          <w:tcPr>
            <w:tcW w:w="1314" w:type="dxa"/>
          </w:tcPr>
          <w:p w14:paraId="6CBE6546" w14:textId="1A003BE8" w:rsidR="00332B95" w:rsidRPr="00287AA3" w:rsidRDefault="00332B95" w:rsidP="00332B95">
            <w:pPr>
              <w:jc w:val="center"/>
              <w:rPr>
                <w:b/>
                <w:sz w:val="20"/>
                <w:szCs w:val="20"/>
              </w:rPr>
            </w:pPr>
            <w:r>
              <w:rPr>
                <w:b/>
                <w:sz w:val="20"/>
                <w:szCs w:val="20"/>
              </w:rPr>
              <w:t>Percent Achievement</w:t>
            </w:r>
          </w:p>
        </w:tc>
      </w:tr>
      <w:tr w:rsidR="00332B95" w:rsidRPr="009E6057" w14:paraId="2C7C4968" w14:textId="5F401E25" w:rsidTr="00332B95">
        <w:tc>
          <w:tcPr>
            <w:tcW w:w="2590" w:type="dxa"/>
          </w:tcPr>
          <w:p w14:paraId="0BBB202C" w14:textId="77777777" w:rsidR="00332B95" w:rsidRPr="00AB75BA" w:rsidRDefault="00332B95" w:rsidP="00E41700">
            <w:pPr>
              <w:rPr>
                <w:rFonts w:ascii="Garamond" w:hAnsi="Garamond"/>
                <w:sz w:val="20"/>
                <w:szCs w:val="20"/>
              </w:rPr>
            </w:pPr>
            <w:r w:rsidRPr="00AB75BA">
              <w:rPr>
                <w:rFonts w:ascii="Garamond" w:eastAsia="Times New Roman" w:hAnsi="Garamond" w:cs="Times New Roman"/>
                <w:bCs/>
                <w:sz w:val="20"/>
                <w:szCs w:val="20"/>
              </w:rPr>
              <w:t>The College of Micronesia-FSM is a learner-centered institution of higher education</w:t>
            </w:r>
          </w:p>
        </w:tc>
        <w:tc>
          <w:tcPr>
            <w:tcW w:w="1301" w:type="dxa"/>
          </w:tcPr>
          <w:p w14:paraId="5CC8C1E6" w14:textId="74F58BE8" w:rsidR="00332B95" w:rsidRPr="00E54BC3" w:rsidRDefault="00332B95" w:rsidP="00E41700">
            <w:pPr>
              <w:jc w:val="center"/>
              <w:rPr>
                <w:rFonts w:ascii="Garamond" w:hAnsi="Garamond"/>
                <w:sz w:val="20"/>
                <w:szCs w:val="20"/>
              </w:rPr>
            </w:pPr>
            <w:r>
              <w:rPr>
                <w:rFonts w:ascii="Garamond" w:hAnsi="Garamond"/>
                <w:sz w:val="20"/>
                <w:szCs w:val="20"/>
              </w:rPr>
              <w:t xml:space="preserve">1 </w:t>
            </w:r>
          </w:p>
        </w:tc>
        <w:tc>
          <w:tcPr>
            <w:tcW w:w="1234" w:type="dxa"/>
          </w:tcPr>
          <w:p w14:paraId="24CDEF95" w14:textId="537EF248" w:rsidR="00332B95" w:rsidRPr="00E54BC3" w:rsidRDefault="00332B95" w:rsidP="00E41700">
            <w:pPr>
              <w:jc w:val="center"/>
              <w:rPr>
                <w:rFonts w:ascii="Garamond" w:hAnsi="Garamond"/>
                <w:sz w:val="20"/>
                <w:szCs w:val="20"/>
              </w:rPr>
            </w:pPr>
            <w:r>
              <w:rPr>
                <w:rFonts w:ascii="Garamond" w:hAnsi="Garamond"/>
                <w:sz w:val="20"/>
                <w:szCs w:val="20"/>
              </w:rPr>
              <w:t>2</w:t>
            </w:r>
          </w:p>
        </w:tc>
        <w:tc>
          <w:tcPr>
            <w:tcW w:w="1428" w:type="dxa"/>
          </w:tcPr>
          <w:p w14:paraId="66273D3F" w14:textId="45F91EF5" w:rsidR="00332B95" w:rsidRPr="00AB75BA" w:rsidRDefault="00332B95" w:rsidP="00E41700">
            <w:pPr>
              <w:jc w:val="center"/>
              <w:rPr>
                <w:rFonts w:ascii="Garamond" w:hAnsi="Garamond"/>
                <w:sz w:val="20"/>
                <w:szCs w:val="20"/>
              </w:rPr>
            </w:pPr>
            <w:r>
              <w:rPr>
                <w:rFonts w:ascii="Garamond" w:hAnsi="Garamond"/>
                <w:sz w:val="20"/>
                <w:szCs w:val="20"/>
              </w:rPr>
              <w:t>n/a</w:t>
            </w:r>
          </w:p>
        </w:tc>
        <w:tc>
          <w:tcPr>
            <w:tcW w:w="1360" w:type="dxa"/>
          </w:tcPr>
          <w:p w14:paraId="0B6CF86E" w14:textId="087089DC" w:rsidR="00332B95" w:rsidRPr="00AB75BA" w:rsidRDefault="00332B95" w:rsidP="00E41700">
            <w:pPr>
              <w:jc w:val="center"/>
              <w:rPr>
                <w:rFonts w:ascii="Garamond" w:hAnsi="Garamond"/>
                <w:sz w:val="20"/>
                <w:szCs w:val="20"/>
              </w:rPr>
            </w:pPr>
            <w:r>
              <w:rPr>
                <w:rFonts w:ascii="Garamond" w:hAnsi="Garamond"/>
                <w:sz w:val="20"/>
                <w:szCs w:val="20"/>
              </w:rPr>
              <w:t>0</w:t>
            </w:r>
          </w:p>
        </w:tc>
        <w:tc>
          <w:tcPr>
            <w:tcW w:w="1446" w:type="dxa"/>
          </w:tcPr>
          <w:p w14:paraId="217266B5" w14:textId="0B0540F1" w:rsidR="00332B95" w:rsidRPr="00AB75BA" w:rsidRDefault="00332B95" w:rsidP="00E41700">
            <w:pPr>
              <w:jc w:val="center"/>
              <w:rPr>
                <w:rFonts w:ascii="Garamond" w:hAnsi="Garamond"/>
                <w:sz w:val="20"/>
                <w:szCs w:val="20"/>
              </w:rPr>
            </w:pPr>
            <w:r>
              <w:rPr>
                <w:rFonts w:ascii="Garamond" w:hAnsi="Garamond"/>
                <w:sz w:val="20"/>
                <w:szCs w:val="20"/>
              </w:rPr>
              <w:t>5</w:t>
            </w:r>
          </w:p>
        </w:tc>
        <w:tc>
          <w:tcPr>
            <w:tcW w:w="1664" w:type="dxa"/>
          </w:tcPr>
          <w:p w14:paraId="6E834A82" w14:textId="5CA6071C" w:rsidR="00332B95" w:rsidRPr="00AB75BA" w:rsidRDefault="00332B95" w:rsidP="00E41700">
            <w:pPr>
              <w:jc w:val="center"/>
              <w:rPr>
                <w:rFonts w:ascii="Garamond" w:hAnsi="Garamond"/>
                <w:sz w:val="20"/>
                <w:szCs w:val="20"/>
              </w:rPr>
            </w:pPr>
            <w:r>
              <w:rPr>
                <w:rFonts w:ascii="Garamond" w:hAnsi="Garamond"/>
                <w:sz w:val="20"/>
                <w:szCs w:val="20"/>
              </w:rPr>
              <w:t>5</w:t>
            </w:r>
          </w:p>
        </w:tc>
        <w:tc>
          <w:tcPr>
            <w:tcW w:w="1064" w:type="dxa"/>
          </w:tcPr>
          <w:p w14:paraId="75E8F928" w14:textId="0125780C" w:rsidR="00332B95" w:rsidRPr="009E6057" w:rsidRDefault="00332B95" w:rsidP="00E41700">
            <w:pPr>
              <w:jc w:val="center"/>
              <w:rPr>
                <w:rFonts w:ascii="Garamond" w:hAnsi="Garamond"/>
                <w:b/>
                <w:sz w:val="20"/>
                <w:szCs w:val="20"/>
              </w:rPr>
            </w:pPr>
            <w:r>
              <w:rPr>
                <w:rFonts w:ascii="Garamond" w:hAnsi="Garamond"/>
                <w:b/>
                <w:sz w:val="20"/>
                <w:szCs w:val="20"/>
              </w:rPr>
              <w:t>6</w:t>
            </w:r>
          </w:p>
        </w:tc>
        <w:tc>
          <w:tcPr>
            <w:tcW w:w="1215" w:type="dxa"/>
          </w:tcPr>
          <w:p w14:paraId="3DCE400F" w14:textId="0D339375" w:rsidR="00332B95" w:rsidRPr="009E6057" w:rsidRDefault="00332B95" w:rsidP="00E41700">
            <w:pPr>
              <w:jc w:val="center"/>
              <w:rPr>
                <w:rFonts w:ascii="Garamond" w:hAnsi="Garamond"/>
                <w:b/>
                <w:sz w:val="20"/>
                <w:szCs w:val="20"/>
              </w:rPr>
            </w:pPr>
            <w:r>
              <w:rPr>
                <w:rFonts w:ascii="Garamond" w:hAnsi="Garamond"/>
                <w:b/>
                <w:sz w:val="20"/>
                <w:szCs w:val="20"/>
              </w:rPr>
              <w:t>7</w:t>
            </w:r>
          </w:p>
        </w:tc>
        <w:tc>
          <w:tcPr>
            <w:tcW w:w="1314" w:type="dxa"/>
          </w:tcPr>
          <w:p w14:paraId="39D16B0D" w14:textId="69A6C483" w:rsidR="00332B95" w:rsidRDefault="00332B95" w:rsidP="00E41700">
            <w:pPr>
              <w:jc w:val="center"/>
              <w:rPr>
                <w:rFonts w:ascii="Garamond" w:hAnsi="Garamond"/>
                <w:b/>
                <w:sz w:val="20"/>
                <w:szCs w:val="20"/>
              </w:rPr>
            </w:pPr>
            <w:r>
              <w:rPr>
                <w:rFonts w:ascii="Garamond" w:hAnsi="Garamond"/>
                <w:b/>
                <w:sz w:val="20"/>
                <w:szCs w:val="20"/>
              </w:rPr>
              <w:t>86%</w:t>
            </w:r>
          </w:p>
        </w:tc>
      </w:tr>
      <w:tr w:rsidR="00332B95" w:rsidRPr="00E54BC3" w14:paraId="35B622C7" w14:textId="3204A3FF" w:rsidTr="00332B95">
        <w:tc>
          <w:tcPr>
            <w:tcW w:w="2590" w:type="dxa"/>
          </w:tcPr>
          <w:p w14:paraId="3718D8F9" w14:textId="77777777" w:rsidR="00332B95" w:rsidRPr="00AB75BA" w:rsidRDefault="00332B95" w:rsidP="00E41700">
            <w:pPr>
              <w:rPr>
                <w:rFonts w:ascii="Garamond" w:eastAsia="Times New Roman" w:hAnsi="Garamond" w:cs="Times New Roman"/>
                <w:bCs/>
                <w:sz w:val="20"/>
                <w:szCs w:val="20"/>
              </w:rPr>
            </w:pPr>
            <w:r w:rsidRPr="00AB75BA">
              <w:rPr>
                <w:rFonts w:ascii="Garamond" w:eastAsia="Times New Roman" w:hAnsi="Garamond" w:cs="Times New Roman"/>
                <w:bCs/>
                <w:sz w:val="20"/>
                <w:szCs w:val="20"/>
              </w:rPr>
              <w:t xml:space="preserve">that is committed to the success of the Federated States of Micronesia </w:t>
            </w:r>
          </w:p>
          <w:p w14:paraId="4F489927" w14:textId="77777777" w:rsidR="00332B95" w:rsidRPr="00AB75BA" w:rsidRDefault="00332B95" w:rsidP="00E41700">
            <w:pPr>
              <w:rPr>
                <w:rFonts w:ascii="Garamond" w:hAnsi="Garamond"/>
                <w:sz w:val="20"/>
                <w:szCs w:val="20"/>
              </w:rPr>
            </w:pPr>
          </w:p>
        </w:tc>
        <w:tc>
          <w:tcPr>
            <w:tcW w:w="1301" w:type="dxa"/>
          </w:tcPr>
          <w:p w14:paraId="40EA45B7" w14:textId="7C9FFD65" w:rsidR="00332B95" w:rsidRPr="00AB75BA" w:rsidRDefault="00332B95" w:rsidP="00E41700">
            <w:pPr>
              <w:jc w:val="center"/>
              <w:rPr>
                <w:rFonts w:ascii="Garamond" w:hAnsi="Garamond"/>
                <w:sz w:val="20"/>
                <w:szCs w:val="20"/>
              </w:rPr>
            </w:pPr>
            <w:r>
              <w:rPr>
                <w:rFonts w:ascii="Garamond" w:hAnsi="Garamond"/>
                <w:sz w:val="20"/>
                <w:szCs w:val="20"/>
              </w:rPr>
              <w:t>4</w:t>
            </w:r>
          </w:p>
        </w:tc>
        <w:tc>
          <w:tcPr>
            <w:tcW w:w="1234" w:type="dxa"/>
          </w:tcPr>
          <w:p w14:paraId="2F285F0F" w14:textId="4821A5BF" w:rsidR="00332B95" w:rsidRPr="00AB75BA" w:rsidRDefault="00332B95" w:rsidP="00E41700">
            <w:pPr>
              <w:jc w:val="center"/>
              <w:rPr>
                <w:rFonts w:ascii="Garamond" w:hAnsi="Garamond"/>
                <w:sz w:val="20"/>
                <w:szCs w:val="20"/>
              </w:rPr>
            </w:pPr>
            <w:r>
              <w:rPr>
                <w:rFonts w:ascii="Garamond" w:hAnsi="Garamond"/>
                <w:sz w:val="20"/>
                <w:szCs w:val="20"/>
              </w:rPr>
              <w:t>4</w:t>
            </w:r>
          </w:p>
        </w:tc>
        <w:tc>
          <w:tcPr>
            <w:tcW w:w="1428" w:type="dxa"/>
          </w:tcPr>
          <w:p w14:paraId="058B165F" w14:textId="20C91350" w:rsidR="00332B95" w:rsidRPr="00AB75BA" w:rsidRDefault="00332B95" w:rsidP="00E41700">
            <w:pPr>
              <w:jc w:val="center"/>
              <w:rPr>
                <w:rFonts w:ascii="Garamond" w:hAnsi="Garamond"/>
                <w:sz w:val="20"/>
                <w:szCs w:val="20"/>
              </w:rPr>
            </w:pPr>
            <w:r>
              <w:rPr>
                <w:rFonts w:ascii="Garamond" w:hAnsi="Garamond"/>
                <w:sz w:val="20"/>
                <w:szCs w:val="20"/>
              </w:rPr>
              <w:t>n/a</w:t>
            </w:r>
          </w:p>
        </w:tc>
        <w:tc>
          <w:tcPr>
            <w:tcW w:w="1360" w:type="dxa"/>
          </w:tcPr>
          <w:p w14:paraId="3AD39FE3" w14:textId="606584DA" w:rsidR="00332B95" w:rsidRPr="00AB75BA" w:rsidRDefault="00332B95" w:rsidP="00E41700">
            <w:pPr>
              <w:jc w:val="center"/>
              <w:rPr>
                <w:rFonts w:ascii="Garamond" w:hAnsi="Garamond"/>
                <w:sz w:val="20"/>
                <w:szCs w:val="20"/>
              </w:rPr>
            </w:pPr>
            <w:r>
              <w:rPr>
                <w:rFonts w:ascii="Garamond" w:hAnsi="Garamond"/>
                <w:sz w:val="20"/>
                <w:szCs w:val="20"/>
              </w:rPr>
              <w:t>0</w:t>
            </w:r>
          </w:p>
        </w:tc>
        <w:tc>
          <w:tcPr>
            <w:tcW w:w="1446" w:type="dxa"/>
          </w:tcPr>
          <w:p w14:paraId="799D1E12" w14:textId="5CF6B535" w:rsidR="00332B95" w:rsidRPr="00AB75BA" w:rsidRDefault="00332B95" w:rsidP="00E41700">
            <w:pPr>
              <w:jc w:val="center"/>
              <w:rPr>
                <w:rFonts w:ascii="Garamond" w:hAnsi="Garamond"/>
                <w:sz w:val="20"/>
                <w:szCs w:val="20"/>
              </w:rPr>
            </w:pPr>
            <w:r>
              <w:rPr>
                <w:rFonts w:ascii="Garamond" w:hAnsi="Garamond"/>
                <w:sz w:val="20"/>
                <w:szCs w:val="20"/>
              </w:rPr>
              <w:t>n/a</w:t>
            </w:r>
          </w:p>
        </w:tc>
        <w:tc>
          <w:tcPr>
            <w:tcW w:w="1664" w:type="dxa"/>
          </w:tcPr>
          <w:p w14:paraId="63A98E58" w14:textId="686BA4F2" w:rsidR="00332B95" w:rsidRPr="00AB75BA" w:rsidRDefault="00332B95" w:rsidP="00E41700">
            <w:pPr>
              <w:jc w:val="center"/>
              <w:rPr>
                <w:rFonts w:ascii="Garamond" w:hAnsi="Garamond"/>
                <w:sz w:val="20"/>
                <w:szCs w:val="20"/>
              </w:rPr>
            </w:pPr>
            <w:r>
              <w:rPr>
                <w:rFonts w:ascii="Garamond" w:hAnsi="Garamond"/>
                <w:sz w:val="20"/>
                <w:szCs w:val="20"/>
              </w:rPr>
              <w:t>0</w:t>
            </w:r>
          </w:p>
        </w:tc>
        <w:tc>
          <w:tcPr>
            <w:tcW w:w="1064" w:type="dxa"/>
          </w:tcPr>
          <w:p w14:paraId="1081317A" w14:textId="7F92A797" w:rsidR="00332B95" w:rsidRPr="00E54BC3" w:rsidRDefault="00332B95" w:rsidP="00E41700">
            <w:pPr>
              <w:jc w:val="center"/>
              <w:rPr>
                <w:rFonts w:ascii="Garamond" w:hAnsi="Garamond"/>
                <w:b/>
                <w:sz w:val="20"/>
                <w:szCs w:val="20"/>
              </w:rPr>
            </w:pPr>
            <w:r>
              <w:rPr>
                <w:rFonts w:ascii="Garamond" w:hAnsi="Garamond"/>
                <w:b/>
                <w:sz w:val="20"/>
                <w:szCs w:val="20"/>
              </w:rPr>
              <w:t>4</w:t>
            </w:r>
          </w:p>
        </w:tc>
        <w:tc>
          <w:tcPr>
            <w:tcW w:w="1215" w:type="dxa"/>
          </w:tcPr>
          <w:p w14:paraId="7AC6BFB9" w14:textId="0EACB424" w:rsidR="00332B95" w:rsidRPr="00E54BC3" w:rsidRDefault="00332B95" w:rsidP="00E41700">
            <w:pPr>
              <w:jc w:val="center"/>
              <w:rPr>
                <w:rFonts w:ascii="Garamond" w:hAnsi="Garamond"/>
                <w:b/>
                <w:sz w:val="20"/>
                <w:szCs w:val="20"/>
              </w:rPr>
            </w:pPr>
            <w:r>
              <w:rPr>
                <w:rFonts w:ascii="Garamond" w:hAnsi="Garamond"/>
                <w:b/>
                <w:sz w:val="20"/>
                <w:szCs w:val="20"/>
              </w:rPr>
              <w:t>4</w:t>
            </w:r>
          </w:p>
        </w:tc>
        <w:tc>
          <w:tcPr>
            <w:tcW w:w="1314" w:type="dxa"/>
          </w:tcPr>
          <w:p w14:paraId="7714320B" w14:textId="383436EE" w:rsidR="00332B95" w:rsidRDefault="00332B95" w:rsidP="00E41700">
            <w:pPr>
              <w:jc w:val="center"/>
              <w:rPr>
                <w:rFonts w:ascii="Garamond" w:hAnsi="Garamond"/>
                <w:b/>
                <w:sz w:val="20"/>
                <w:szCs w:val="20"/>
              </w:rPr>
            </w:pPr>
            <w:r>
              <w:rPr>
                <w:rFonts w:ascii="Garamond" w:hAnsi="Garamond"/>
                <w:b/>
                <w:sz w:val="20"/>
                <w:szCs w:val="20"/>
              </w:rPr>
              <w:t>100%</w:t>
            </w:r>
          </w:p>
        </w:tc>
      </w:tr>
      <w:tr w:rsidR="00332B95" w:rsidRPr="00E54BC3" w14:paraId="2E21EBA1" w14:textId="5CD0C9FA" w:rsidTr="00332B95">
        <w:tc>
          <w:tcPr>
            <w:tcW w:w="2590" w:type="dxa"/>
          </w:tcPr>
          <w:p w14:paraId="27610ED3" w14:textId="77777777" w:rsidR="00332B95" w:rsidRPr="00AB75BA" w:rsidRDefault="00332B95" w:rsidP="00E41700">
            <w:pPr>
              <w:rPr>
                <w:rFonts w:ascii="Garamond" w:hAnsi="Garamond"/>
                <w:sz w:val="20"/>
                <w:szCs w:val="20"/>
              </w:rPr>
            </w:pPr>
            <w:r w:rsidRPr="00AB75BA">
              <w:rPr>
                <w:rFonts w:ascii="Garamond" w:eastAsia="Times New Roman" w:hAnsi="Garamond" w:cs="Times New Roman"/>
                <w:bCs/>
                <w:sz w:val="20"/>
                <w:szCs w:val="20"/>
              </w:rPr>
              <w:t>by providing academic, career and technical educational programs characterized by continuous improvement and best practices.</w:t>
            </w:r>
          </w:p>
        </w:tc>
        <w:tc>
          <w:tcPr>
            <w:tcW w:w="1301" w:type="dxa"/>
          </w:tcPr>
          <w:p w14:paraId="749C14A4" w14:textId="6799D6AE" w:rsidR="00332B95" w:rsidRPr="00AB75BA" w:rsidRDefault="009B0EC4" w:rsidP="00E41700">
            <w:pPr>
              <w:jc w:val="center"/>
              <w:rPr>
                <w:rFonts w:ascii="Garamond" w:hAnsi="Garamond"/>
                <w:sz w:val="20"/>
                <w:szCs w:val="20"/>
              </w:rPr>
            </w:pPr>
            <w:r>
              <w:rPr>
                <w:rFonts w:ascii="Garamond" w:hAnsi="Garamond"/>
                <w:sz w:val="20"/>
                <w:szCs w:val="20"/>
              </w:rPr>
              <w:t>4</w:t>
            </w:r>
          </w:p>
        </w:tc>
        <w:tc>
          <w:tcPr>
            <w:tcW w:w="1234" w:type="dxa"/>
          </w:tcPr>
          <w:p w14:paraId="51828905" w14:textId="4DE07850" w:rsidR="00332B95" w:rsidRPr="00AB75BA" w:rsidRDefault="00332B95" w:rsidP="00E41700">
            <w:pPr>
              <w:jc w:val="center"/>
              <w:rPr>
                <w:rFonts w:ascii="Garamond" w:hAnsi="Garamond"/>
                <w:sz w:val="20"/>
                <w:szCs w:val="20"/>
              </w:rPr>
            </w:pPr>
            <w:r>
              <w:rPr>
                <w:rFonts w:ascii="Garamond" w:hAnsi="Garamond"/>
                <w:sz w:val="20"/>
                <w:szCs w:val="20"/>
              </w:rPr>
              <w:t>5</w:t>
            </w:r>
          </w:p>
        </w:tc>
        <w:tc>
          <w:tcPr>
            <w:tcW w:w="1428" w:type="dxa"/>
          </w:tcPr>
          <w:p w14:paraId="1F0BC533" w14:textId="7B31809A" w:rsidR="00332B95" w:rsidRPr="00AB75BA" w:rsidRDefault="00332B95" w:rsidP="00E41700">
            <w:pPr>
              <w:jc w:val="center"/>
              <w:rPr>
                <w:rFonts w:ascii="Garamond" w:hAnsi="Garamond"/>
                <w:sz w:val="20"/>
                <w:szCs w:val="20"/>
              </w:rPr>
            </w:pPr>
            <w:r>
              <w:rPr>
                <w:rFonts w:ascii="Garamond" w:hAnsi="Garamond"/>
                <w:sz w:val="20"/>
                <w:szCs w:val="20"/>
              </w:rPr>
              <w:t>2</w:t>
            </w:r>
          </w:p>
        </w:tc>
        <w:tc>
          <w:tcPr>
            <w:tcW w:w="1360" w:type="dxa"/>
          </w:tcPr>
          <w:p w14:paraId="17CF72E4" w14:textId="31A6876C" w:rsidR="00332B95" w:rsidRPr="00AB75BA" w:rsidRDefault="00332B95" w:rsidP="00E41700">
            <w:pPr>
              <w:jc w:val="center"/>
              <w:rPr>
                <w:rFonts w:ascii="Garamond" w:hAnsi="Garamond"/>
                <w:sz w:val="20"/>
                <w:szCs w:val="20"/>
              </w:rPr>
            </w:pPr>
            <w:r>
              <w:rPr>
                <w:rFonts w:ascii="Garamond" w:hAnsi="Garamond"/>
                <w:sz w:val="20"/>
                <w:szCs w:val="20"/>
              </w:rPr>
              <w:t>3</w:t>
            </w:r>
          </w:p>
        </w:tc>
        <w:tc>
          <w:tcPr>
            <w:tcW w:w="1446" w:type="dxa"/>
          </w:tcPr>
          <w:p w14:paraId="040E2A61" w14:textId="462C11AA" w:rsidR="00332B95" w:rsidRPr="00AB75BA" w:rsidRDefault="00332B95" w:rsidP="00E41700">
            <w:pPr>
              <w:jc w:val="center"/>
              <w:rPr>
                <w:rFonts w:ascii="Garamond" w:hAnsi="Garamond"/>
                <w:sz w:val="20"/>
                <w:szCs w:val="20"/>
              </w:rPr>
            </w:pPr>
            <w:r>
              <w:rPr>
                <w:rFonts w:ascii="Garamond" w:hAnsi="Garamond"/>
                <w:sz w:val="20"/>
                <w:szCs w:val="20"/>
              </w:rPr>
              <w:t>1</w:t>
            </w:r>
          </w:p>
        </w:tc>
        <w:tc>
          <w:tcPr>
            <w:tcW w:w="1664" w:type="dxa"/>
          </w:tcPr>
          <w:p w14:paraId="0C7741CA" w14:textId="04A3C7B6" w:rsidR="00332B95" w:rsidRPr="00AB75BA" w:rsidRDefault="00332B95" w:rsidP="00E41700">
            <w:pPr>
              <w:jc w:val="center"/>
              <w:rPr>
                <w:rFonts w:ascii="Garamond" w:hAnsi="Garamond"/>
                <w:sz w:val="20"/>
                <w:szCs w:val="20"/>
              </w:rPr>
            </w:pPr>
            <w:r>
              <w:rPr>
                <w:rFonts w:ascii="Garamond" w:hAnsi="Garamond"/>
                <w:sz w:val="20"/>
                <w:szCs w:val="20"/>
              </w:rPr>
              <w:t>1</w:t>
            </w:r>
          </w:p>
        </w:tc>
        <w:tc>
          <w:tcPr>
            <w:tcW w:w="1064" w:type="dxa"/>
          </w:tcPr>
          <w:p w14:paraId="0627116A" w14:textId="2A71727A" w:rsidR="00332B95" w:rsidRPr="00E54BC3" w:rsidRDefault="009B0EC4" w:rsidP="00E41700">
            <w:pPr>
              <w:jc w:val="center"/>
              <w:rPr>
                <w:rFonts w:ascii="Garamond" w:hAnsi="Garamond"/>
                <w:b/>
                <w:sz w:val="20"/>
                <w:szCs w:val="20"/>
              </w:rPr>
            </w:pPr>
            <w:r>
              <w:rPr>
                <w:rFonts w:ascii="Garamond" w:hAnsi="Garamond"/>
                <w:b/>
                <w:sz w:val="20"/>
                <w:szCs w:val="20"/>
              </w:rPr>
              <w:t>7</w:t>
            </w:r>
          </w:p>
        </w:tc>
        <w:tc>
          <w:tcPr>
            <w:tcW w:w="1215" w:type="dxa"/>
          </w:tcPr>
          <w:p w14:paraId="56239542" w14:textId="12878B3E" w:rsidR="00332B95" w:rsidRPr="00E54BC3" w:rsidRDefault="00332B95" w:rsidP="00E41700">
            <w:pPr>
              <w:jc w:val="center"/>
              <w:rPr>
                <w:rFonts w:ascii="Garamond" w:hAnsi="Garamond"/>
                <w:b/>
                <w:sz w:val="20"/>
                <w:szCs w:val="20"/>
              </w:rPr>
            </w:pPr>
            <w:r>
              <w:rPr>
                <w:rFonts w:ascii="Garamond" w:hAnsi="Garamond"/>
                <w:b/>
                <w:sz w:val="20"/>
                <w:szCs w:val="20"/>
              </w:rPr>
              <w:t>9</w:t>
            </w:r>
          </w:p>
        </w:tc>
        <w:tc>
          <w:tcPr>
            <w:tcW w:w="1314" w:type="dxa"/>
          </w:tcPr>
          <w:p w14:paraId="50E170EF" w14:textId="3471AC2D" w:rsidR="00332B95" w:rsidRDefault="00332B95" w:rsidP="00E41700">
            <w:pPr>
              <w:jc w:val="center"/>
              <w:rPr>
                <w:rFonts w:ascii="Garamond" w:hAnsi="Garamond"/>
                <w:b/>
                <w:sz w:val="20"/>
                <w:szCs w:val="20"/>
              </w:rPr>
            </w:pPr>
            <w:r>
              <w:rPr>
                <w:rFonts w:ascii="Garamond" w:hAnsi="Garamond"/>
                <w:b/>
                <w:sz w:val="20"/>
                <w:szCs w:val="20"/>
              </w:rPr>
              <w:t>7</w:t>
            </w:r>
            <w:r w:rsidR="009B0EC4">
              <w:rPr>
                <w:rFonts w:ascii="Garamond" w:hAnsi="Garamond"/>
                <w:b/>
                <w:sz w:val="20"/>
                <w:szCs w:val="20"/>
              </w:rPr>
              <w:t>8</w:t>
            </w:r>
            <w:r>
              <w:rPr>
                <w:rFonts w:ascii="Garamond" w:hAnsi="Garamond"/>
                <w:b/>
                <w:sz w:val="20"/>
                <w:szCs w:val="20"/>
              </w:rPr>
              <w:t>%</w:t>
            </w:r>
          </w:p>
        </w:tc>
      </w:tr>
      <w:tr w:rsidR="00332B95" w:rsidRPr="00042298" w14:paraId="379CF512" w14:textId="73B656FD" w:rsidTr="00332B95">
        <w:tc>
          <w:tcPr>
            <w:tcW w:w="2590" w:type="dxa"/>
          </w:tcPr>
          <w:p w14:paraId="6659537B" w14:textId="77777777" w:rsidR="00332B95" w:rsidRPr="00332B95" w:rsidRDefault="00332B95" w:rsidP="00E41700">
            <w:pPr>
              <w:jc w:val="center"/>
              <w:rPr>
                <w:b/>
                <w:sz w:val="20"/>
                <w:szCs w:val="20"/>
              </w:rPr>
            </w:pPr>
            <w:r w:rsidRPr="00332B95">
              <w:rPr>
                <w:b/>
                <w:sz w:val="20"/>
                <w:szCs w:val="20"/>
              </w:rPr>
              <w:t>Total Indicators</w:t>
            </w:r>
          </w:p>
        </w:tc>
        <w:tc>
          <w:tcPr>
            <w:tcW w:w="1301" w:type="dxa"/>
          </w:tcPr>
          <w:p w14:paraId="6596C650" w14:textId="57B43A87" w:rsidR="00332B95" w:rsidRPr="00042298" w:rsidRDefault="009B0EC4" w:rsidP="00E41700">
            <w:pPr>
              <w:jc w:val="center"/>
              <w:rPr>
                <w:rFonts w:ascii="Garamond" w:hAnsi="Garamond"/>
                <w:b/>
                <w:color w:val="000000" w:themeColor="text1"/>
                <w:sz w:val="20"/>
                <w:szCs w:val="20"/>
              </w:rPr>
            </w:pPr>
            <w:r>
              <w:rPr>
                <w:rFonts w:ascii="Garamond" w:hAnsi="Garamond"/>
                <w:b/>
                <w:color w:val="000000" w:themeColor="text1"/>
                <w:sz w:val="20"/>
                <w:szCs w:val="20"/>
              </w:rPr>
              <w:t>9</w:t>
            </w:r>
          </w:p>
        </w:tc>
        <w:tc>
          <w:tcPr>
            <w:tcW w:w="1234" w:type="dxa"/>
          </w:tcPr>
          <w:p w14:paraId="0BE48747" w14:textId="37746C6E" w:rsidR="00332B95" w:rsidRPr="00042298" w:rsidRDefault="00332B95" w:rsidP="00E41700">
            <w:pPr>
              <w:jc w:val="center"/>
              <w:rPr>
                <w:rFonts w:ascii="Garamond" w:hAnsi="Garamond"/>
                <w:b/>
                <w:color w:val="000000" w:themeColor="text1"/>
                <w:sz w:val="20"/>
                <w:szCs w:val="20"/>
              </w:rPr>
            </w:pPr>
            <w:r>
              <w:rPr>
                <w:rFonts w:ascii="Garamond" w:hAnsi="Garamond"/>
                <w:b/>
                <w:color w:val="000000" w:themeColor="text1"/>
                <w:sz w:val="20"/>
                <w:szCs w:val="20"/>
              </w:rPr>
              <w:t>11</w:t>
            </w:r>
          </w:p>
        </w:tc>
        <w:tc>
          <w:tcPr>
            <w:tcW w:w="1428" w:type="dxa"/>
          </w:tcPr>
          <w:p w14:paraId="39E61671" w14:textId="30902342" w:rsidR="00332B95" w:rsidRPr="00042298" w:rsidRDefault="00332B95" w:rsidP="00E41700">
            <w:pPr>
              <w:jc w:val="center"/>
              <w:rPr>
                <w:rFonts w:ascii="Garamond" w:hAnsi="Garamond"/>
                <w:b/>
                <w:color w:val="000000" w:themeColor="text1"/>
                <w:sz w:val="20"/>
                <w:szCs w:val="20"/>
              </w:rPr>
            </w:pPr>
            <w:r>
              <w:rPr>
                <w:rFonts w:ascii="Garamond" w:hAnsi="Garamond"/>
                <w:b/>
                <w:color w:val="000000" w:themeColor="text1"/>
                <w:sz w:val="20"/>
                <w:szCs w:val="20"/>
              </w:rPr>
              <w:t>2</w:t>
            </w:r>
          </w:p>
        </w:tc>
        <w:tc>
          <w:tcPr>
            <w:tcW w:w="1360" w:type="dxa"/>
          </w:tcPr>
          <w:p w14:paraId="5926705B" w14:textId="6F2CCC5F" w:rsidR="00332B95" w:rsidRPr="00042298" w:rsidRDefault="00332B95" w:rsidP="00E41700">
            <w:pPr>
              <w:jc w:val="center"/>
              <w:rPr>
                <w:rFonts w:ascii="Garamond" w:hAnsi="Garamond"/>
                <w:b/>
                <w:color w:val="000000" w:themeColor="text1"/>
                <w:sz w:val="20"/>
                <w:szCs w:val="20"/>
              </w:rPr>
            </w:pPr>
            <w:r>
              <w:rPr>
                <w:rFonts w:ascii="Garamond" w:hAnsi="Garamond"/>
                <w:b/>
                <w:color w:val="000000" w:themeColor="text1"/>
                <w:sz w:val="20"/>
                <w:szCs w:val="20"/>
              </w:rPr>
              <w:t>3</w:t>
            </w:r>
          </w:p>
        </w:tc>
        <w:tc>
          <w:tcPr>
            <w:tcW w:w="1446" w:type="dxa"/>
          </w:tcPr>
          <w:p w14:paraId="6DA72EED" w14:textId="24A56C33" w:rsidR="00332B95" w:rsidRPr="00042298" w:rsidRDefault="00332B95" w:rsidP="00E41700">
            <w:pPr>
              <w:jc w:val="center"/>
              <w:rPr>
                <w:rFonts w:ascii="Garamond" w:hAnsi="Garamond"/>
                <w:b/>
                <w:color w:val="000000" w:themeColor="text1"/>
                <w:sz w:val="20"/>
                <w:szCs w:val="20"/>
              </w:rPr>
            </w:pPr>
            <w:r>
              <w:rPr>
                <w:rFonts w:ascii="Garamond" w:hAnsi="Garamond"/>
                <w:b/>
                <w:color w:val="000000" w:themeColor="text1"/>
                <w:sz w:val="20"/>
                <w:szCs w:val="20"/>
              </w:rPr>
              <w:t>6</w:t>
            </w:r>
          </w:p>
        </w:tc>
        <w:tc>
          <w:tcPr>
            <w:tcW w:w="1664" w:type="dxa"/>
          </w:tcPr>
          <w:p w14:paraId="32B12A6D" w14:textId="1A3144E5" w:rsidR="00332B95" w:rsidRPr="00042298" w:rsidRDefault="00332B95" w:rsidP="00E41700">
            <w:pPr>
              <w:jc w:val="center"/>
              <w:rPr>
                <w:rFonts w:ascii="Garamond" w:hAnsi="Garamond"/>
                <w:b/>
                <w:color w:val="000000" w:themeColor="text1"/>
                <w:sz w:val="20"/>
                <w:szCs w:val="20"/>
              </w:rPr>
            </w:pPr>
            <w:r>
              <w:rPr>
                <w:rFonts w:ascii="Garamond" w:hAnsi="Garamond"/>
                <w:b/>
                <w:color w:val="000000" w:themeColor="text1"/>
                <w:sz w:val="20"/>
                <w:szCs w:val="20"/>
              </w:rPr>
              <w:t>6</w:t>
            </w:r>
          </w:p>
        </w:tc>
        <w:tc>
          <w:tcPr>
            <w:tcW w:w="1064" w:type="dxa"/>
          </w:tcPr>
          <w:p w14:paraId="0BD0AF93" w14:textId="03BF137E" w:rsidR="00332B95" w:rsidRPr="00042298" w:rsidRDefault="00332B95" w:rsidP="00E41700">
            <w:pPr>
              <w:jc w:val="center"/>
              <w:rPr>
                <w:rFonts w:ascii="Garamond" w:hAnsi="Garamond"/>
                <w:b/>
                <w:color w:val="000000" w:themeColor="text1"/>
                <w:sz w:val="20"/>
                <w:szCs w:val="20"/>
              </w:rPr>
            </w:pPr>
            <w:r>
              <w:rPr>
                <w:rFonts w:ascii="Garamond" w:hAnsi="Garamond"/>
                <w:b/>
                <w:color w:val="000000" w:themeColor="text1"/>
                <w:sz w:val="20"/>
                <w:szCs w:val="20"/>
              </w:rPr>
              <w:t>1</w:t>
            </w:r>
            <w:r w:rsidR="009B0EC4">
              <w:rPr>
                <w:rFonts w:ascii="Garamond" w:hAnsi="Garamond"/>
                <w:b/>
                <w:color w:val="000000" w:themeColor="text1"/>
                <w:sz w:val="20"/>
                <w:szCs w:val="20"/>
              </w:rPr>
              <w:t>7</w:t>
            </w:r>
          </w:p>
        </w:tc>
        <w:tc>
          <w:tcPr>
            <w:tcW w:w="1215" w:type="dxa"/>
          </w:tcPr>
          <w:p w14:paraId="51B5697E" w14:textId="24A947C8" w:rsidR="00332B95" w:rsidRPr="00042298" w:rsidRDefault="00332B95" w:rsidP="00E41700">
            <w:pPr>
              <w:jc w:val="center"/>
              <w:rPr>
                <w:rFonts w:ascii="Garamond" w:hAnsi="Garamond"/>
                <w:b/>
                <w:color w:val="000000" w:themeColor="text1"/>
                <w:sz w:val="20"/>
                <w:szCs w:val="20"/>
              </w:rPr>
            </w:pPr>
            <w:r>
              <w:rPr>
                <w:rFonts w:ascii="Garamond" w:hAnsi="Garamond"/>
                <w:b/>
                <w:color w:val="000000" w:themeColor="text1"/>
                <w:sz w:val="20"/>
                <w:szCs w:val="20"/>
              </w:rPr>
              <w:t>20</w:t>
            </w:r>
          </w:p>
        </w:tc>
        <w:tc>
          <w:tcPr>
            <w:tcW w:w="1314" w:type="dxa"/>
          </w:tcPr>
          <w:p w14:paraId="353423C5" w14:textId="7649008B" w:rsidR="00332B95" w:rsidRPr="00DC3A57" w:rsidRDefault="00332B95" w:rsidP="00E41700">
            <w:pPr>
              <w:jc w:val="center"/>
              <w:rPr>
                <w:rFonts w:ascii="Garamond" w:hAnsi="Garamond"/>
                <w:b/>
                <w:color w:val="000000" w:themeColor="text1"/>
                <w:sz w:val="24"/>
                <w:szCs w:val="24"/>
              </w:rPr>
            </w:pPr>
            <w:r w:rsidRPr="00DC3A57">
              <w:rPr>
                <w:rFonts w:ascii="Garamond" w:hAnsi="Garamond"/>
                <w:b/>
                <w:color w:val="000000" w:themeColor="text1"/>
                <w:sz w:val="24"/>
                <w:szCs w:val="24"/>
              </w:rPr>
              <w:t>80%</w:t>
            </w:r>
          </w:p>
        </w:tc>
      </w:tr>
      <w:tr w:rsidR="00332B95" w:rsidRPr="00042298" w14:paraId="456931CE" w14:textId="77777777" w:rsidTr="00180F6B">
        <w:trPr>
          <w:trHeight w:val="206"/>
        </w:trPr>
        <w:tc>
          <w:tcPr>
            <w:tcW w:w="2590" w:type="dxa"/>
          </w:tcPr>
          <w:p w14:paraId="5255EE1F" w14:textId="6FA88EE3" w:rsidR="00332B95" w:rsidRPr="00332B95" w:rsidRDefault="00332B95" w:rsidP="00E41700">
            <w:pPr>
              <w:jc w:val="center"/>
              <w:rPr>
                <w:b/>
                <w:sz w:val="20"/>
                <w:szCs w:val="20"/>
              </w:rPr>
            </w:pPr>
            <w:r>
              <w:rPr>
                <w:b/>
                <w:sz w:val="20"/>
                <w:szCs w:val="20"/>
              </w:rPr>
              <w:t>Percent Achievement</w:t>
            </w:r>
          </w:p>
        </w:tc>
        <w:tc>
          <w:tcPr>
            <w:tcW w:w="2535" w:type="dxa"/>
            <w:gridSpan w:val="2"/>
          </w:tcPr>
          <w:p w14:paraId="308242FB" w14:textId="42B9F841" w:rsidR="00332B95" w:rsidRDefault="009B0EC4" w:rsidP="00E41700">
            <w:pPr>
              <w:jc w:val="center"/>
              <w:rPr>
                <w:rFonts w:ascii="Garamond" w:hAnsi="Garamond"/>
                <w:b/>
                <w:color w:val="000000" w:themeColor="text1"/>
                <w:sz w:val="20"/>
                <w:szCs w:val="20"/>
              </w:rPr>
            </w:pPr>
            <w:r>
              <w:rPr>
                <w:rFonts w:ascii="Garamond" w:hAnsi="Garamond"/>
                <w:b/>
                <w:color w:val="000000" w:themeColor="text1"/>
                <w:sz w:val="20"/>
                <w:szCs w:val="20"/>
              </w:rPr>
              <w:t>82</w:t>
            </w:r>
            <w:r w:rsidR="00332B95">
              <w:rPr>
                <w:rFonts w:ascii="Garamond" w:hAnsi="Garamond"/>
                <w:b/>
                <w:color w:val="000000" w:themeColor="text1"/>
                <w:sz w:val="20"/>
                <w:szCs w:val="20"/>
              </w:rPr>
              <w:t>%</w:t>
            </w:r>
          </w:p>
        </w:tc>
        <w:tc>
          <w:tcPr>
            <w:tcW w:w="2788" w:type="dxa"/>
            <w:gridSpan w:val="2"/>
          </w:tcPr>
          <w:p w14:paraId="791E0413" w14:textId="013481DF" w:rsidR="00332B95" w:rsidRDefault="00332B95" w:rsidP="00E41700">
            <w:pPr>
              <w:jc w:val="center"/>
              <w:rPr>
                <w:rFonts w:ascii="Garamond" w:hAnsi="Garamond"/>
                <w:b/>
                <w:color w:val="000000" w:themeColor="text1"/>
                <w:sz w:val="20"/>
                <w:szCs w:val="20"/>
              </w:rPr>
            </w:pPr>
            <w:r>
              <w:rPr>
                <w:rFonts w:ascii="Garamond" w:hAnsi="Garamond"/>
                <w:b/>
                <w:color w:val="000000" w:themeColor="text1"/>
                <w:sz w:val="20"/>
                <w:szCs w:val="20"/>
              </w:rPr>
              <w:t>67%</w:t>
            </w:r>
          </w:p>
        </w:tc>
        <w:tc>
          <w:tcPr>
            <w:tcW w:w="3110" w:type="dxa"/>
            <w:gridSpan w:val="2"/>
          </w:tcPr>
          <w:p w14:paraId="03C80203" w14:textId="4E7743BB" w:rsidR="00332B95" w:rsidRDefault="00332B95" w:rsidP="00E41700">
            <w:pPr>
              <w:jc w:val="center"/>
              <w:rPr>
                <w:rFonts w:ascii="Garamond" w:hAnsi="Garamond"/>
                <w:b/>
                <w:color w:val="000000" w:themeColor="text1"/>
                <w:sz w:val="20"/>
                <w:szCs w:val="20"/>
              </w:rPr>
            </w:pPr>
            <w:r>
              <w:rPr>
                <w:rFonts w:ascii="Garamond" w:hAnsi="Garamond"/>
                <w:b/>
                <w:color w:val="000000" w:themeColor="text1"/>
                <w:sz w:val="20"/>
                <w:szCs w:val="20"/>
              </w:rPr>
              <w:t>100%</w:t>
            </w:r>
          </w:p>
        </w:tc>
        <w:tc>
          <w:tcPr>
            <w:tcW w:w="2279" w:type="dxa"/>
            <w:gridSpan w:val="2"/>
          </w:tcPr>
          <w:p w14:paraId="0394FAE5" w14:textId="51F194FE" w:rsidR="00332B95" w:rsidRPr="00DC3A57" w:rsidRDefault="009B0EC4" w:rsidP="00E41700">
            <w:pPr>
              <w:jc w:val="center"/>
              <w:rPr>
                <w:rFonts w:ascii="Garamond" w:hAnsi="Garamond"/>
                <w:b/>
                <w:color w:val="000000" w:themeColor="text1"/>
                <w:sz w:val="24"/>
                <w:szCs w:val="24"/>
              </w:rPr>
            </w:pPr>
            <w:r>
              <w:rPr>
                <w:rFonts w:ascii="Garamond" w:hAnsi="Garamond"/>
                <w:b/>
                <w:color w:val="000000" w:themeColor="text1"/>
                <w:sz w:val="24"/>
                <w:szCs w:val="24"/>
              </w:rPr>
              <w:t>85</w:t>
            </w:r>
            <w:bookmarkStart w:id="0" w:name="_GoBack"/>
            <w:bookmarkEnd w:id="0"/>
            <w:r w:rsidR="00332B95" w:rsidRPr="00DC3A57">
              <w:rPr>
                <w:rFonts w:ascii="Garamond" w:hAnsi="Garamond"/>
                <w:b/>
                <w:color w:val="000000" w:themeColor="text1"/>
                <w:sz w:val="24"/>
                <w:szCs w:val="24"/>
              </w:rPr>
              <w:t>%</w:t>
            </w:r>
          </w:p>
        </w:tc>
        <w:tc>
          <w:tcPr>
            <w:tcW w:w="1314" w:type="dxa"/>
          </w:tcPr>
          <w:p w14:paraId="0569C2F7" w14:textId="77777777" w:rsidR="00332B95" w:rsidRDefault="00332B95" w:rsidP="00E41700">
            <w:pPr>
              <w:jc w:val="center"/>
              <w:rPr>
                <w:rFonts w:ascii="Garamond" w:hAnsi="Garamond"/>
                <w:b/>
                <w:color w:val="000000" w:themeColor="text1"/>
                <w:sz w:val="20"/>
                <w:szCs w:val="20"/>
              </w:rPr>
            </w:pPr>
          </w:p>
        </w:tc>
      </w:tr>
    </w:tbl>
    <w:p w14:paraId="3EEEB4E6" w14:textId="77777777" w:rsidR="00772F46" w:rsidRDefault="00772F46">
      <w:pPr>
        <w:rPr>
          <w:rFonts w:ascii="Garamond" w:hAnsi="Garamond"/>
          <w:sz w:val="20"/>
          <w:szCs w:val="20"/>
        </w:rPr>
      </w:pPr>
    </w:p>
    <w:p w14:paraId="0176FB32" w14:textId="465F0EE7" w:rsidR="00332B95" w:rsidRPr="00332B95" w:rsidRDefault="00FE0A7E">
      <w:pPr>
        <w:rPr>
          <w:rFonts w:ascii="Garamond" w:hAnsi="Garamond"/>
          <w:sz w:val="24"/>
          <w:szCs w:val="24"/>
        </w:rPr>
      </w:pPr>
      <w:r>
        <w:rPr>
          <w:rFonts w:ascii="Garamond" w:hAnsi="Garamond"/>
          <w:sz w:val="24"/>
          <w:szCs w:val="24"/>
        </w:rPr>
        <w:t>COM-FSM has achieved, or minimally achieved</w:t>
      </w:r>
      <w:r w:rsidR="00EF5443">
        <w:rPr>
          <w:rFonts w:ascii="Garamond" w:hAnsi="Garamond"/>
          <w:sz w:val="24"/>
          <w:szCs w:val="24"/>
        </w:rPr>
        <w:t>,</w:t>
      </w:r>
      <w:r w:rsidR="009B0EC4">
        <w:rPr>
          <w:rFonts w:ascii="Garamond" w:hAnsi="Garamond"/>
          <w:sz w:val="24"/>
          <w:szCs w:val="24"/>
        </w:rPr>
        <w:t xml:space="preserve"> 85</w:t>
      </w:r>
      <w:r>
        <w:rPr>
          <w:rFonts w:ascii="Garamond" w:hAnsi="Garamond"/>
          <w:sz w:val="24"/>
          <w:szCs w:val="24"/>
        </w:rPr>
        <w:t>% (</w:t>
      </w:r>
      <w:r w:rsidR="00E7236E">
        <w:rPr>
          <w:rFonts w:ascii="Garamond" w:hAnsi="Garamond"/>
          <w:sz w:val="24"/>
          <w:szCs w:val="24"/>
        </w:rPr>
        <w:t>17</w:t>
      </w:r>
      <w:r w:rsidR="00763E14">
        <w:rPr>
          <w:rFonts w:ascii="Garamond" w:hAnsi="Garamond"/>
          <w:sz w:val="24"/>
          <w:szCs w:val="24"/>
        </w:rPr>
        <w:t>/20</w:t>
      </w:r>
      <w:r>
        <w:rPr>
          <w:rFonts w:ascii="Garamond" w:hAnsi="Garamond"/>
          <w:sz w:val="24"/>
          <w:szCs w:val="24"/>
        </w:rPr>
        <w:t xml:space="preserve">) </w:t>
      </w:r>
      <w:r w:rsidR="00EF5443">
        <w:rPr>
          <w:rFonts w:ascii="Garamond" w:hAnsi="Garamond"/>
          <w:sz w:val="24"/>
          <w:szCs w:val="24"/>
        </w:rPr>
        <w:t xml:space="preserve">of its </w:t>
      </w:r>
      <w:r>
        <w:rPr>
          <w:rFonts w:ascii="Garamond" w:hAnsi="Garamond"/>
          <w:sz w:val="24"/>
          <w:szCs w:val="24"/>
        </w:rPr>
        <w:t>mission indicators exceeding the required 70% (</w:t>
      </w:r>
      <w:r w:rsidR="00763E14">
        <w:rPr>
          <w:rFonts w:ascii="Garamond" w:hAnsi="Garamond"/>
          <w:sz w:val="24"/>
          <w:szCs w:val="24"/>
        </w:rPr>
        <w:t>14/20</w:t>
      </w:r>
      <w:r>
        <w:rPr>
          <w:rFonts w:ascii="Garamond" w:hAnsi="Garamond"/>
          <w:sz w:val="24"/>
          <w:szCs w:val="24"/>
        </w:rPr>
        <w:t xml:space="preserve">) necessary for mission fulfillment. </w:t>
      </w:r>
      <w:r w:rsidR="00763E14">
        <w:rPr>
          <w:rFonts w:ascii="Garamond" w:hAnsi="Garamond"/>
          <w:sz w:val="24"/>
          <w:szCs w:val="24"/>
        </w:rPr>
        <w:t>Performance on the third mission aspect needs improved by developing guided pathways, decreasing time to graduation</w:t>
      </w:r>
      <w:r w:rsidR="004554CE">
        <w:rPr>
          <w:rFonts w:ascii="Garamond" w:hAnsi="Garamond"/>
          <w:sz w:val="24"/>
          <w:szCs w:val="24"/>
        </w:rPr>
        <w:t xml:space="preserve"> and/or transfer</w:t>
      </w:r>
      <w:r w:rsidR="00763E14">
        <w:rPr>
          <w:rFonts w:ascii="Garamond" w:hAnsi="Garamond"/>
          <w:sz w:val="24"/>
          <w:szCs w:val="24"/>
        </w:rPr>
        <w:t xml:space="preserve"> (within three years), increasing graduation rates</w:t>
      </w:r>
      <w:r w:rsidR="004554CE">
        <w:rPr>
          <w:rFonts w:ascii="Garamond" w:hAnsi="Garamond"/>
          <w:sz w:val="24"/>
          <w:szCs w:val="24"/>
        </w:rPr>
        <w:t>,</w:t>
      </w:r>
      <w:r w:rsidR="00763E14">
        <w:rPr>
          <w:rFonts w:ascii="Garamond" w:hAnsi="Garamond"/>
          <w:sz w:val="24"/>
          <w:szCs w:val="24"/>
        </w:rPr>
        <w:t xml:space="preserve"> and formalizing a system to regularly gather transfer data. </w:t>
      </w:r>
      <w:r w:rsidR="004554CE">
        <w:rPr>
          <w:rFonts w:ascii="Garamond" w:hAnsi="Garamond"/>
          <w:sz w:val="24"/>
          <w:szCs w:val="24"/>
        </w:rPr>
        <w:t>Though COM-FSM regularly assesses student learning, the college must formalize a system that simplifies aggregation of data on individual student achievement of course and program level learning outcomes. IEQA is currently working with IA and EMSS to evolve the Student Information System (SIS) to capture course learning outcome data in similar manner and at the same time grades are submitted each semester. The newly created Dean of Assessment position will be responsible for establishing a formal system with program faculty to aggregate program learning outcome achievement data. In the interim, IRP</w:t>
      </w:r>
      <w:r w:rsidR="00997DCC">
        <w:rPr>
          <w:rFonts w:ascii="Garamond" w:hAnsi="Garamond"/>
          <w:sz w:val="24"/>
          <w:szCs w:val="24"/>
        </w:rPr>
        <w:t xml:space="preserve">O has been tasked to begin this dialogue and </w:t>
      </w:r>
      <w:r w:rsidR="004554CE">
        <w:rPr>
          <w:rFonts w:ascii="Garamond" w:hAnsi="Garamond"/>
          <w:sz w:val="24"/>
          <w:szCs w:val="24"/>
        </w:rPr>
        <w:t>work in collaboration with IA.</w:t>
      </w:r>
    </w:p>
    <w:sectPr w:rsidR="00332B95" w:rsidRPr="00332B95" w:rsidSect="008D713D">
      <w:headerReference w:type="even" r:id="rId9"/>
      <w:headerReference w:type="default" r:id="rId10"/>
      <w:pgSz w:w="15840" w:h="12240" w:orient="landscape" w:code="1"/>
      <w:pgMar w:top="567" w:right="567" w:bottom="567" w:left="567"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32FB5" w14:textId="77777777" w:rsidR="00DB2999" w:rsidRDefault="00DB2999" w:rsidP="009264E6">
      <w:pPr>
        <w:spacing w:after="0" w:line="240" w:lineRule="auto"/>
      </w:pPr>
      <w:r>
        <w:separator/>
      </w:r>
    </w:p>
  </w:endnote>
  <w:endnote w:type="continuationSeparator" w:id="0">
    <w:p w14:paraId="24EBF93D" w14:textId="77777777" w:rsidR="00DB2999" w:rsidRDefault="00DB2999" w:rsidP="0092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B4AD1" w14:textId="77777777" w:rsidR="00DB2999" w:rsidRDefault="00DB2999" w:rsidP="009264E6">
      <w:pPr>
        <w:spacing w:after="0" w:line="240" w:lineRule="auto"/>
      </w:pPr>
      <w:r>
        <w:separator/>
      </w:r>
    </w:p>
  </w:footnote>
  <w:footnote w:type="continuationSeparator" w:id="0">
    <w:p w14:paraId="595BC790" w14:textId="77777777" w:rsidR="00DB2999" w:rsidRDefault="00DB2999" w:rsidP="009264E6">
      <w:pPr>
        <w:spacing w:after="0" w:line="240" w:lineRule="auto"/>
      </w:pPr>
      <w:r>
        <w:continuationSeparator/>
      </w:r>
    </w:p>
  </w:footnote>
  <w:footnote w:id="1">
    <w:p w14:paraId="6684BDE3" w14:textId="46356772" w:rsidR="009264E6" w:rsidRPr="009264E6" w:rsidRDefault="009264E6">
      <w:pPr>
        <w:pStyle w:val="FootnoteText"/>
        <w:rPr>
          <w:rFonts w:ascii="Garamond" w:hAnsi="Garamond"/>
          <w:sz w:val="20"/>
          <w:szCs w:val="20"/>
        </w:rPr>
      </w:pPr>
      <w:r w:rsidRPr="009264E6">
        <w:rPr>
          <w:rStyle w:val="FootnoteReference"/>
          <w:rFonts w:ascii="Garamond" w:hAnsi="Garamond"/>
        </w:rPr>
        <w:footnoteRef/>
      </w:r>
      <w:r w:rsidRPr="009264E6">
        <w:rPr>
          <w:rFonts w:ascii="Garamond" w:hAnsi="Garamond"/>
        </w:rPr>
        <w:t xml:space="preserve"> </w:t>
      </w:r>
      <w:r>
        <w:rPr>
          <w:rFonts w:ascii="Garamond" w:hAnsi="Garamond"/>
          <w:sz w:val="20"/>
          <w:szCs w:val="20"/>
        </w:rPr>
        <w:t>CS</w:t>
      </w:r>
      <w:r w:rsidRPr="009264E6">
        <w:rPr>
          <w:rFonts w:ascii="Garamond" w:hAnsi="Garamond"/>
          <w:sz w:val="20"/>
          <w:szCs w:val="20"/>
        </w:rPr>
        <w:t>LOs</w:t>
      </w:r>
      <w:r>
        <w:rPr>
          <w:rFonts w:ascii="Garamond" w:hAnsi="Garamond"/>
          <w:sz w:val="20"/>
          <w:szCs w:val="20"/>
        </w:rPr>
        <w:t xml:space="preserve"> are assessed by all faculty, for every course taught, every semester. However, </w:t>
      </w:r>
      <w:r w:rsidR="00B3610D">
        <w:rPr>
          <w:rFonts w:ascii="Garamond" w:hAnsi="Garamond"/>
          <w:sz w:val="20"/>
          <w:szCs w:val="20"/>
        </w:rPr>
        <w:t>a system to aggregate</w:t>
      </w:r>
      <w:r>
        <w:rPr>
          <w:rFonts w:ascii="Garamond" w:hAnsi="Garamond"/>
          <w:sz w:val="20"/>
          <w:szCs w:val="20"/>
        </w:rPr>
        <w:t xml:space="preserve"> </w:t>
      </w:r>
      <w:r w:rsidR="000B5D7E">
        <w:rPr>
          <w:rFonts w:ascii="Garamond" w:hAnsi="Garamond"/>
          <w:sz w:val="20"/>
          <w:szCs w:val="20"/>
        </w:rPr>
        <w:t>results of CSLO attainment per student has</w:t>
      </w:r>
      <w:r>
        <w:rPr>
          <w:rFonts w:ascii="Garamond" w:hAnsi="Garamond"/>
          <w:sz w:val="20"/>
          <w:szCs w:val="20"/>
        </w:rPr>
        <w:t xml:space="preserve"> not been developed and centralized.</w:t>
      </w:r>
      <w:r w:rsidRPr="009264E6">
        <w:rPr>
          <w:rFonts w:ascii="Garamond" w:hAnsi="Garamond"/>
          <w:sz w:val="20"/>
          <w:szCs w:val="20"/>
        </w:rPr>
        <w:t xml:space="preserve"> </w:t>
      </w:r>
      <w:r>
        <w:rPr>
          <w:rFonts w:ascii="Garamond" w:hAnsi="Garamond"/>
          <w:sz w:val="20"/>
          <w:szCs w:val="20"/>
        </w:rPr>
        <w:t>PSLOs are assessed a</w:t>
      </w:r>
      <w:r w:rsidR="00B3610D">
        <w:rPr>
          <w:rFonts w:ascii="Garamond" w:hAnsi="Garamond"/>
          <w:sz w:val="20"/>
          <w:szCs w:val="20"/>
        </w:rPr>
        <w:t>nnually, and a system to aggregate</w:t>
      </w:r>
      <w:r>
        <w:rPr>
          <w:rFonts w:ascii="Garamond" w:hAnsi="Garamond"/>
          <w:sz w:val="20"/>
          <w:szCs w:val="20"/>
        </w:rPr>
        <w:t xml:space="preserve"> results of PSLOs attainme</w:t>
      </w:r>
      <w:r w:rsidR="000B5D7E">
        <w:rPr>
          <w:rFonts w:ascii="Garamond" w:hAnsi="Garamond"/>
          <w:sz w:val="20"/>
          <w:szCs w:val="20"/>
        </w:rPr>
        <w:t xml:space="preserve">nt has </w:t>
      </w:r>
      <w:r>
        <w:rPr>
          <w:rFonts w:ascii="Garamond" w:hAnsi="Garamond"/>
          <w:sz w:val="20"/>
          <w:szCs w:val="20"/>
        </w:rPr>
        <w:t>not been developed and centralized.</w:t>
      </w:r>
      <w:r w:rsidR="000B5D7E">
        <w:rPr>
          <w:rFonts w:ascii="Garamond" w:hAnsi="Garamond"/>
          <w:sz w:val="20"/>
          <w:szCs w:val="20"/>
        </w:rPr>
        <w:t xml:space="preserve"> Until these data are aggregated, analyzed, and thresholds established, COM-FSM has not achieved success for this indicator.</w:t>
      </w:r>
    </w:p>
  </w:footnote>
  <w:footnote w:id="2">
    <w:p w14:paraId="3D7F0114" w14:textId="6C1959F0" w:rsidR="00B756EE" w:rsidRPr="00B756EE" w:rsidRDefault="00B756EE">
      <w:pPr>
        <w:pStyle w:val="FootnoteText"/>
        <w:rPr>
          <w:rFonts w:ascii="Garamond" w:hAnsi="Garamond"/>
          <w:sz w:val="20"/>
          <w:szCs w:val="20"/>
        </w:rPr>
      </w:pPr>
      <w:r>
        <w:rPr>
          <w:rStyle w:val="FootnoteReference"/>
        </w:rPr>
        <w:footnoteRef/>
      </w:r>
      <w:r>
        <w:t xml:space="preserve"> </w:t>
      </w:r>
      <w:r>
        <w:rPr>
          <w:rFonts w:ascii="Garamond" w:hAnsi="Garamond"/>
          <w:sz w:val="20"/>
          <w:szCs w:val="20"/>
        </w:rPr>
        <w:t>This is a new initiative and the threshold is not anticipated to be met for the first time until AY16-17</w:t>
      </w:r>
    </w:p>
  </w:footnote>
  <w:footnote w:id="3">
    <w:p w14:paraId="040D0299" w14:textId="0ED5F47D" w:rsidR="00BF4BAA" w:rsidRPr="00BF4BAA" w:rsidRDefault="00BF4BAA">
      <w:pPr>
        <w:pStyle w:val="FootnoteText"/>
        <w:rPr>
          <w:rFonts w:ascii="Garamond" w:hAnsi="Garamond"/>
          <w:sz w:val="20"/>
          <w:szCs w:val="20"/>
        </w:rPr>
      </w:pPr>
      <w:r>
        <w:rPr>
          <w:rStyle w:val="FootnoteReference"/>
        </w:rPr>
        <w:footnoteRef/>
      </w:r>
      <w:r>
        <w:t xml:space="preserve"> </w:t>
      </w:r>
      <w:r>
        <w:rPr>
          <w:rFonts w:ascii="Garamond" w:hAnsi="Garamond"/>
          <w:sz w:val="20"/>
          <w:szCs w:val="20"/>
        </w:rPr>
        <w:t xml:space="preserve">COM-FSM must formalize a process for obtaining and reporting transfer data, even if some of these data are anecdotal.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F9518" w14:textId="77777777" w:rsidR="00791DB9" w:rsidRDefault="00791DB9" w:rsidP="004D155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FD5EED" w14:textId="77777777" w:rsidR="00791DB9" w:rsidRDefault="00791DB9" w:rsidP="00791DB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80D59" w14:textId="77777777" w:rsidR="00791DB9" w:rsidRDefault="00791DB9" w:rsidP="00791DB9">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823D8C"/>
    <w:multiLevelType w:val="hybridMultilevel"/>
    <w:tmpl w:val="A4B6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C59"/>
    <w:rsid w:val="000005B2"/>
    <w:rsid w:val="00004D7D"/>
    <w:rsid w:val="00016FD7"/>
    <w:rsid w:val="00042298"/>
    <w:rsid w:val="00050504"/>
    <w:rsid w:val="00067524"/>
    <w:rsid w:val="000A4106"/>
    <w:rsid w:val="000B3F96"/>
    <w:rsid w:val="000B409A"/>
    <w:rsid w:val="000B5D7E"/>
    <w:rsid w:val="000C3597"/>
    <w:rsid w:val="00105864"/>
    <w:rsid w:val="0013585C"/>
    <w:rsid w:val="00143404"/>
    <w:rsid w:val="00146954"/>
    <w:rsid w:val="0014778C"/>
    <w:rsid w:val="00171A73"/>
    <w:rsid w:val="0018615B"/>
    <w:rsid w:val="001E07E2"/>
    <w:rsid w:val="001F0BE3"/>
    <w:rsid w:val="0020215F"/>
    <w:rsid w:val="0020235D"/>
    <w:rsid w:val="002043FD"/>
    <w:rsid w:val="002059E6"/>
    <w:rsid w:val="002346D2"/>
    <w:rsid w:val="002362C1"/>
    <w:rsid w:val="00251E1F"/>
    <w:rsid w:val="002648A6"/>
    <w:rsid w:val="00275E9A"/>
    <w:rsid w:val="002823A8"/>
    <w:rsid w:val="00287AA3"/>
    <w:rsid w:val="002A2E34"/>
    <w:rsid w:val="002C58C5"/>
    <w:rsid w:val="002E74E0"/>
    <w:rsid w:val="003057E2"/>
    <w:rsid w:val="003113C9"/>
    <w:rsid w:val="00311F89"/>
    <w:rsid w:val="00332B95"/>
    <w:rsid w:val="0035342B"/>
    <w:rsid w:val="00356FD2"/>
    <w:rsid w:val="0036104D"/>
    <w:rsid w:val="00372252"/>
    <w:rsid w:val="00376883"/>
    <w:rsid w:val="00382D7B"/>
    <w:rsid w:val="00386ABA"/>
    <w:rsid w:val="003905CA"/>
    <w:rsid w:val="00395B51"/>
    <w:rsid w:val="0039700B"/>
    <w:rsid w:val="003B2BE0"/>
    <w:rsid w:val="003C27B9"/>
    <w:rsid w:val="003D0F84"/>
    <w:rsid w:val="003D748F"/>
    <w:rsid w:val="003E0203"/>
    <w:rsid w:val="003E0220"/>
    <w:rsid w:val="003E103B"/>
    <w:rsid w:val="003E51BB"/>
    <w:rsid w:val="003E72CD"/>
    <w:rsid w:val="003F0D60"/>
    <w:rsid w:val="003F1DC6"/>
    <w:rsid w:val="003F74DA"/>
    <w:rsid w:val="004129BF"/>
    <w:rsid w:val="00444884"/>
    <w:rsid w:val="004554CE"/>
    <w:rsid w:val="00461F29"/>
    <w:rsid w:val="004703D9"/>
    <w:rsid w:val="00480743"/>
    <w:rsid w:val="004C5756"/>
    <w:rsid w:val="004D3F45"/>
    <w:rsid w:val="004E5DD9"/>
    <w:rsid w:val="004E64CA"/>
    <w:rsid w:val="00505801"/>
    <w:rsid w:val="005065F7"/>
    <w:rsid w:val="005365A3"/>
    <w:rsid w:val="00540DB4"/>
    <w:rsid w:val="005420F1"/>
    <w:rsid w:val="00544701"/>
    <w:rsid w:val="005514E0"/>
    <w:rsid w:val="00553CA2"/>
    <w:rsid w:val="00564D93"/>
    <w:rsid w:val="005A0DEB"/>
    <w:rsid w:val="005B7ECA"/>
    <w:rsid w:val="005D5FE9"/>
    <w:rsid w:val="005F5AF9"/>
    <w:rsid w:val="006015CC"/>
    <w:rsid w:val="00633B0F"/>
    <w:rsid w:val="00636CE1"/>
    <w:rsid w:val="00641174"/>
    <w:rsid w:val="00644234"/>
    <w:rsid w:val="0065591A"/>
    <w:rsid w:val="0067339D"/>
    <w:rsid w:val="00686235"/>
    <w:rsid w:val="006C6A74"/>
    <w:rsid w:val="006E3B97"/>
    <w:rsid w:val="007022B3"/>
    <w:rsid w:val="0070600B"/>
    <w:rsid w:val="00732A8D"/>
    <w:rsid w:val="007360AB"/>
    <w:rsid w:val="00743209"/>
    <w:rsid w:val="00763E14"/>
    <w:rsid w:val="00764228"/>
    <w:rsid w:val="00772F46"/>
    <w:rsid w:val="00791303"/>
    <w:rsid w:val="00791DB9"/>
    <w:rsid w:val="007A429D"/>
    <w:rsid w:val="007C5C59"/>
    <w:rsid w:val="007D0A47"/>
    <w:rsid w:val="007E4A19"/>
    <w:rsid w:val="007E695A"/>
    <w:rsid w:val="007F5F65"/>
    <w:rsid w:val="0080060D"/>
    <w:rsid w:val="0082194D"/>
    <w:rsid w:val="00845567"/>
    <w:rsid w:val="008539FD"/>
    <w:rsid w:val="00853CDA"/>
    <w:rsid w:val="008750D9"/>
    <w:rsid w:val="008B7FB7"/>
    <w:rsid w:val="008C7C7A"/>
    <w:rsid w:val="008D713D"/>
    <w:rsid w:val="00905127"/>
    <w:rsid w:val="009138F3"/>
    <w:rsid w:val="00925EAA"/>
    <w:rsid w:val="009264E6"/>
    <w:rsid w:val="00941FE1"/>
    <w:rsid w:val="00964157"/>
    <w:rsid w:val="009714D7"/>
    <w:rsid w:val="009723B4"/>
    <w:rsid w:val="00984E54"/>
    <w:rsid w:val="009917E1"/>
    <w:rsid w:val="00992483"/>
    <w:rsid w:val="00997DCC"/>
    <w:rsid w:val="009B0EC4"/>
    <w:rsid w:val="009B7C7B"/>
    <w:rsid w:val="009D5369"/>
    <w:rsid w:val="009E6057"/>
    <w:rsid w:val="009F51CB"/>
    <w:rsid w:val="00A17494"/>
    <w:rsid w:val="00A21480"/>
    <w:rsid w:val="00A41768"/>
    <w:rsid w:val="00A46D59"/>
    <w:rsid w:val="00A80DAE"/>
    <w:rsid w:val="00A9181F"/>
    <w:rsid w:val="00AB75BA"/>
    <w:rsid w:val="00AE6655"/>
    <w:rsid w:val="00AF3BA6"/>
    <w:rsid w:val="00B07B7B"/>
    <w:rsid w:val="00B25C1A"/>
    <w:rsid w:val="00B278C8"/>
    <w:rsid w:val="00B3610D"/>
    <w:rsid w:val="00B7096E"/>
    <w:rsid w:val="00B756EE"/>
    <w:rsid w:val="00B828A0"/>
    <w:rsid w:val="00BA3B50"/>
    <w:rsid w:val="00BC1D9F"/>
    <w:rsid w:val="00BD5889"/>
    <w:rsid w:val="00BF4BAA"/>
    <w:rsid w:val="00C148C3"/>
    <w:rsid w:val="00C25F41"/>
    <w:rsid w:val="00C2684B"/>
    <w:rsid w:val="00C41D8D"/>
    <w:rsid w:val="00C74823"/>
    <w:rsid w:val="00CB20F9"/>
    <w:rsid w:val="00CC5385"/>
    <w:rsid w:val="00CD0949"/>
    <w:rsid w:val="00CE3023"/>
    <w:rsid w:val="00CF4E9F"/>
    <w:rsid w:val="00D0584F"/>
    <w:rsid w:val="00D3224A"/>
    <w:rsid w:val="00D47A48"/>
    <w:rsid w:val="00D55DB6"/>
    <w:rsid w:val="00D5622C"/>
    <w:rsid w:val="00D575E6"/>
    <w:rsid w:val="00D6291B"/>
    <w:rsid w:val="00D66870"/>
    <w:rsid w:val="00D70EC0"/>
    <w:rsid w:val="00D96415"/>
    <w:rsid w:val="00DA348C"/>
    <w:rsid w:val="00DB2999"/>
    <w:rsid w:val="00DB36DA"/>
    <w:rsid w:val="00DB3C73"/>
    <w:rsid w:val="00DC3A57"/>
    <w:rsid w:val="00DD794B"/>
    <w:rsid w:val="00DE5944"/>
    <w:rsid w:val="00DE6E0A"/>
    <w:rsid w:val="00E267B4"/>
    <w:rsid w:val="00E3297E"/>
    <w:rsid w:val="00E3590F"/>
    <w:rsid w:val="00E54BC3"/>
    <w:rsid w:val="00E7236E"/>
    <w:rsid w:val="00E86585"/>
    <w:rsid w:val="00E91E0B"/>
    <w:rsid w:val="00E960F5"/>
    <w:rsid w:val="00EC2E54"/>
    <w:rsid w:val="00EF2FE5"/>
    <w:rsid w:val="00EF5443"/>
    <w:rsid w:val="00F16A27"/>
    <w:rsid w:val="00F20319"/>
    <w:rsid w:val="00F21162"/>
    <w:rsid w:val="00F35FF5"/>
    <w:rsid w:val="00F827B2"/>
    <w:rsid w:val="00F93959"/>
    <w:rsid w:val="00F97581"/>
    <w:rsid w:val="00FA19E1"/>
    <w:rsid w:val="00FB4E75"/>
    <w:rsid w:val="00FB545E"/>
    <w:rsid w:val="00FB7D63"/>
    <w:rsid w:val="00FB7F44"/>
    <w:rsid w:val="00FD251C"/>
    <w:rsid w:val="00FD2BC6"/>
    <w:rsid w:val="00FD3F4A"/>
    <w:rsid w:val="00FD4479"/>
    <w:rsid w:val="00FE0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B38F63"/>
  <w15:docId w15:val="{037D86F4-9830-4292-B876-A236EA6D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322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24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3224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E51BB"/>
    <w:rPr>
      <w:sz w:val="16"/>
      <w:szCs w:val="16"/>
    </w:rPr>
  </w:style>
  <w:style w:type="paragraph" w:styleId="CommentText">
    <w:name w:val="annotation text"/>
    <w:basedOn w:val="Normal"/>
    <w:link w:val="CommentTextChar"/>
    <w:uiPriority w:val="99"/>
    <w:semiHidden/>
    <w:unhideWhenUsed/>
    <w:rsid w:val="003E51BB"/>
    <w:pPr>
      <w:spacing w:line="240" w:lineRule="auto"/>
    </w:pPr>
    <w:rPr>
      <w:sz w:val="20"/>
      <w:szCs w:val="20"/>
    </w:rPr>
  </w:style>
  <w:style w:type="character" w:customStyle="1" w:styleId="CommentTextChar">
    <w:name w:val="Comment Text Char"/>
    <w:basedOn w:val="DefaultParagraphFont"/>
    <w:link w:val="CommentText"/>
    <w:uiPriority w:val="99"/>
    <w:semiHidden/>
    <w:rsid w:val="003E51BB"/>
    <w:rPr>
      <w:sz w:val="20"/>
      <w:szCs w:val="20"/>
    </w:rPr>
  </w:style>
  <w:style w:type="paragraph" w:styleId="CommentSubject">
    <w:name w:val="annotation subject"/>
    <w:basedOn w:val="CommentText"/>
    <w:next w:val="CommentText"/>
    <w:link w:val="CommentSubjectChar"/>
    <w:uiPriority w:val="99"/>
    <w:semiHidden/>
    <w:unhideWhenUsed/>
    <w:rsid w:val="003E51BB"/>
    <w:rPr>
      <w:b/>
      <w:bCs/>
    </w:rPr>
  </w:style>
  <w:style w:type="character" w:customStyle="1" w:styleId="CommentSubjectChar">
    <w:name w:val="Comment Subject Char"/>
    <w:basedOn w:val="CommentTextChar"/>
    <w:link w:val="CommentSubject"/>
    <w:uiPriority w:val="99"/>
    <w:semiHidden/>
    <w:rsid w:val="003E51BB"/>
    <w:rPr>
      <w:b/>
      <w:bCs/>
      <w:sz w:val="20"/>
      <w:szCs w:val="20"/>
    </w:rPr>
  </w:style>
  <w:style w:type="paragraph" w:styleId="BalloonText">
    <w:name w:val="Balloon Text"/>
    <w:basedOn w:val="Normal"/>
    <w:link w:val="BalloonTextChar"/>
    <w:uiPriority w:val="99"/>
    <w:semiHidden/>
    <w:unhideWhenUsed/>
    <w:rsid w:val="003E51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1BB"/>
    <w:rPr>
      <w:rFonts w:ascii="Segoe UI" w:hAnsi="Segoe UI" w:cs="Segoe UI"/>
      <w:sz w:val="18"/>
      <w:szCs w:val="18"/>
    </w:rPr>
  </w:style>
  <w:style w:type="character" w:styleId="Hyperlink">
    <w:name w:val="Hyperlink"/>
    <w:basedOn w:val="DefaultParagraphFont"/>
    <w:uiPriority w:val="99"/>
    <w:unhideWhenUsed/>
    <w:rsid w:val="009D5369"/>
    <w:rPr>
      <w:color w:val="0563C1" w:themeColor="hyperlink"/>
      <w:u w:val="single"/>
    </w:rPr>
  </w:style>
  <w:style w:type="paragraph" w:styleId="Revision">
    <w:name w:val="Revision"/>
    <w:hidden/>
    <w:uiPriority w:val="99"/>
    <w:semiHidden/>
    <w:rsid w:val="00275E9A"/>
    <w:pPr>
      <w:spacing w:after="0" w:line="240" w:lineRule="auto"/>
    </w:pPr>
  </w:style>
  <w:style w:type="paragraph" w:styleId="DocumentMap">
    <w:name w:val="Document Map"/>
    <w:basedOn w:val="Normal"/>
    <w:link w:val="DocumentMapChar"/>
    <w:uiPriority w:val="99"/>
    <w:semiHidden/>
    <w:unhideWhenUsed/>
    <w:rsid w:val="00275E9A"/>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75E9A"/>
    <w:rPr>
      <w:rFonts w:ascii="Lucida Grande" w:hAnsi="Lucida Grande" w:cs="Lucida Grande"/>
      <w:sz w:val="24"/>
      <w:szCs w:val="24"/>
    </w:rPr>
  </w:style>
  <w:style w:type="paragraph" w:styleId="ListParagraph">
    <w:name w:val="List Paragraph"/>
    <w:basedOn w:val="Normal"/>
    <w:uiPriority w:val="34"/>
    <w:qFormat/>
    <w:rsid w:val="00E91E0B"/>
    <w:pPr>
      <w:ind w:left="720"/>
      <w:contextualSpacing/>
    </w:pPr>
  </w:style>
  <w:style w:type="table" w:styleId="TableGrid">
    <w:name w:val="Table Grid"/>
    <w:basedOn w:val="TableNormal"/>
    <w:uiPriority w:val="39"/>
    <w:rsid w:val="00050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9264E6"/>
    <w:pPr>
      <w:spacing w:after="0" w:line="240" w:lineRule="auto"/>
    </w:pPr>
    <w:rPr>
      <w:sz w:val="24"/>
      <w:szCs w:val="24"/>
    </w:rPr>
  </w:style>
  <w:style w:type="character" w:customStyle="1" w:styleId="FootnoteTextChar">
    <w:name w:val="Footnote Text Char"/>
    <w:basedOn w:val="DefaultParagraphFont"/>
    <w:link w:val="FootnoteText"/>
    <w:uiPriority w:val="99"/>
    <w:rsid w:val="009264E6"/>
    <w:rPr>
      <w:sz w:val="24"/>
      <w:szCs w:val="24"/>
    </w:rPr>
  </w:style>
  <w:style w:type="character" w:styleId="FootnoteReference">
    <w:name w:val="footnote reference"/>
    <w:basedOn w:val="DefaultParagraphFont"/>
    <w:uiPriority w:val="99"/>
    <w:unhideWhenUsed/>
    <w:rsid w:val="009264E6"/>
    <w:rPr>
      <w:vertAlign w:val="superscript"/>
    </w:rPr>
  </w:style>
  <w:style w:type="paragraph" w:styleId="Caption">
    <w:name w:val="caption"/>
    <w:basedOn w:val="Normal"/>
    <w:next w:val="Normal"/>
    <w:uiPriority w:val="35"/>
    <w:unhideWhenUsed/>
    <w:qFormat/>
    <w:rsid w:val="003F1DC6"/>
    <w:pPr>
      <w:spacing w:after="200" w:line="240" w:lineRule="auto"/>
    </w:pPr>
    <w:rPr>
      <w:i/>
      <w:iCs/>
      <w:color w:val="44546A" w:themeColor="text2"/>
      <w:sz w:val="18"/>
      <w:szCs w:val="18"/>
    </w:rPr>
  </w:style>
  <w:style w:type="paragraph" w:styleId="Header">
    <w:name w:val="header"/>
    <w:basedOn w:val="Normal"/>
    <w:link w:val="HeaderChar"/>
    <w:uiPriority w:val="99"/>
    <w:unhideWhenUsed/>
    <w:rsid w:val="00791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DB9"/>
  </w:style>
  <w:style w:type="character" w:styleId="PageNumber">
    <w:name w:val="page number"/>
    <w:basedOn w:val="DefaultParagraphFont"/>
    <w:uiPriority w:val="99"/>
    <w:semiHidden/>
    <w:unhideWhenUsed/>
    <w:rsid w:val="00791DB9"/>
  </w:style>
  <w:style w:type="paragraph" w:styleId="Footer">
    <w:name w:val="footer"/>
    <w:basedOn w:val="Normal"/>
    <w:link w:val="FooterChar"/>
    <w:uiPriority w:val="99"/>
    <w:unhideWhenUsed/>
    <w:rsid w:val="008D7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550764">
      <w:bodyDiv w:val="1"/>
      <w:marLeft w:val="0"/>
      <w:marRight w:val="0"/>
      <w:marTop w:val="0"/>
      <w:marBottom w:val="0"/>
      <w:divBdr>
        <w:top w:val="none" w:sz="0" w:space="0" w:color="auto"/>
        <w:left w:val="none" w:sz="0" w:space="0" w:color="auto"/>
        <w:bottom w:val="none" w:sz="0" w:space="0" w:color="auto"/>
        <w:right w:val="none" w:sz="0" w:space="0" w:color="auto"/>
      </w:divBdr>
    </w:div>
    <w:div w:id="1183275991">
      <w:bodyDiv w:val="1"/>
      <w:marLeft w:val="0"/>
      <w:marRight w:val="0"/>
      <w:marTop w:val="0"/>
      <w:marBottom w:val="0"/>
      <w:divBdr>
        <w:top w:val="none" w:sz="0" w:space="0" w:color="auto"/>
        <w:left w:val="none" w:sz="0" w:space="0" w:color="auto"/>
        <w:bottom w:val="none" w:sz="0" w:space="0" w:color="auto"/>
        <w:right w:val="none" w:sz="0" w:space="0" w:color="auto"/>
      </w:divBdr>
    </w:div>
    <w:div w:id="1719477031">
      <w:bodyDiv w:val="1"/>
      <w:marLeft w:val="0"/>
      <w:marRight w:val="0"/>
      <w:marTop w:val="0"/>
      <w:marBottom w:val="0"/>
      <w:divBdr>
        <w:top w:val="none" w:sz="0" w:space="0" w:color="auto"/>
        <w:left w:val="none" w:sz="0" w:space="0" w:color="auto"/>
        <w:bottom w:val="none" w:sz="0" w:space="0" w:color="auto"/>
        <w:right w:val="none" w:sz="0" w:space="0" w:color="auto"/>
      </w:divBdr>
      <w:divsChild>
        <w:div w:id="901989063">
          <w:marLeft w:val="0"/>
          <w:marRight w:val="0"/>
          <w:marTop w:val="0"/>
          <w:marBottom w:val="0"/>
          <w:divBdr>
            <w:top w:val="none" w:sz="0" w:space="0" w:color="auto"/>
            <w:left w:val="none" w:sz="0" w:space="0" w:color="auto"/>
            <w:bottom w:val="none" w:sz="0" w:space="0" w:color="auto"/>
            <w:right w:val="none" w:sz="0" w:space="0" w:color="auto"/>
          </w:divBdr>
          <w:divsChild>
            <w:div w:id="298849203">
              <w:marLeft w:val="0"/>
              <w:marRight w:val="0"/>
              <w:marTop w:val="0"/>
              <w:marBottom w:val="0"/>
              <w:divBdr>
                <w:top w:val="none" w:sz="0" w:space="0" w:color="auto"/>
                <w:left w:val="none" w:sz="0" w:space="0" w:color="auto"/>
                <w:bottom w:val="none" w:sz="0" w:space="0" w:color="auto"/>
                <w:right w:val="none" w:sz="0" w:space="0" w:color="auto"/>
              </w:divBdr>
              <w:divsChild>
                <w:div w:id="4267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ra.fm/pdfs/idp.pdf"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55129-16DB-2E41-BE22-10DF24EEF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1521</Words>
  <Characters>8670</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Hicks</dc:creator>
  <cp:keywords/>
  <dc:description/>
  <cp:lastModifiedBy>Frankie Harriss</cp:lastModifiedBy>
  <cp:revision>13</cp:revision>
  <cp:lastPrinted>2015-12-02T03:01:00Z</cp:lastPrinted>
  <dcterms:created xsi:type="dcterms:W3CDTF">2015-12-03T12:37:00Z</dcterms:created>
  <dcterms:modified xsi:type="dcterms:W3CDTF">2016-05-02T21:59:00Z</dcterms:modified>
</cp:coreProperties>
</file>